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1C0" w:rsidRPr="00A87E50" w:rsidRDefault="00A031C0" w:rsidP="0060444E">
      <w:pPr>
        <w:pStyle w:val="Header"/>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3439E8">
        <w:rPr>
          <w:rFonts w:eastAsiaTheme="minorEastAsia" w:hint="eastAsia"/>
          <w:sz w:val="22"/>
          <w:szCs w:val="22"/>
          <w:lang w:eastAsia="zh-CN"/>
        </w:rPr>
        <w:t>7</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00E309C9">
        <w:rPr>
          <w:rFonts w:eastAsia="宋体" w:hint="eastAsia"/>
          <w:sz w:val="22"/>
          <w:szCs w:val="22"/>
          <w:lang w:eastAsia="zh-CN"/>
        </w:rPr>
        <w:t xml:space="preserve">     </w:t>
      </w:r>
      <w:r w:rsidR="00A92382" w:rsidRPr="00A92382">
        <w:rPr>
          <w:sz w:val="22"/>
          <w:szCs w:val="22"/>
        </w:rPr>
        <w:t>R1-16</w:t>
      </w:r>
      <w:r w:rsidR="00651ECA">
        <w:rPr>
          <w:rFonts w:eastAsiaTheme="minorEastAsia"/>
          <w:sz w:val="22"/>
          <w:szCs w:val="22"/>
          <w:lang w:eastAsia="zh-CN"/>
        </w:rPr>
        <w:t>1</w:t>
      </w:r>
      <w:r w:rsidR="00E557E5">
        <w:rPr>
          <w:rFonts w:eastAsiaTheme="minorEastAsia"/>
          <w:sz w:val="22"/>
          <w:szCs w:val="22"/>
          <w:lang w:eastAsia="zh-CN"/>
        </w:rPr>
        <w:t>3106</w:t>
      </w:r>
    </w:p>
    <w:p w:rsidR="00A92382" w:rsidRPr="00A10A59" w:rsidRDefault="003439E8" w:rsidP="00A92382">
      <w:pPr>
        <w:widowControl w:val="0"/>
        <w:autoSpaceDE w:val="0"/>
        <w:autoSpaceDN w:val="0"/>
        <w:spacing w:after="240" w:line="240" w:lineRule="auto"/>
        <w:jc w:val="both"/>
        <w:outlineLvl w:val="0"/>
        <w:rPr>
          <w:rFonts w:ascii="Arial" w:hAnsi="Arial" w:cs="Arial"/>
          <w:b/>
          <w:bCs/>
          <w:lang w:val="en-GB"/>
        </w:rPr>
      </w:pPr>
      <w:r>
        <w:rPr>
          <w:rFonts w:ascii="Arial" w:hAnsi="Arial" w:cs="Arial" w:hint="eastAsia"/>
          <w:b/>
          <w:bCs/>
          <w:lang w:val="en-GB"/>
        </w:rPr>
        <w:t>Reno</w:t>
      </w:r>
      <w:r w:rsidR="00A92382">
        <w:rPr>
          <w:rFonts w:ascii="Arial" w:hAnsi="Arial" w:cs="Arial"/>
          <w:b/>
          <w:bCs/>
          <w:lang w:val="en-GB"/>
        </w:rPr>
        <w:t xml:space="preserve">, </w:t>
      </w:r>
      <w:r>
        <w:rPr>
          <w:rFonts w:ascii="Arial" w:hAnsi="Arial" w:cs="Arial" w:hint="eastAsia"/>
          <w:b/>
          <w:bCs/>
          <w:lang w:val="en-GB"/>
        </w:rPr>
        <w:t>USA</w:t>
      </w:r>
      <w:r w:rsidR="00A92382">
        <w:rPr>
          <w:rFonts w:ascii="Arial" w:hAnsi="Arial" w:cs="Arial"/>
          <w:b/>
          <w:bCs/>
          <w:lang w:val="en-GB"/>
        </w:rPr>
        <w:t>, 1</w:t>
      </w:r>
      <w:r>
        <w:rPr>
          <w:rFonts w:ascii="Arial" w:hAnsi="Arial" w:cs="Arial" w:hint="eastAsia"/>
          <w:b/>
          <w:bCs/>
          <w:lang w:val="en-GB"/>
        </w:rPr>
        <w:t>4</w:t>
      </w:r>
      <w:r w:rsidR="00A92382">
        <w:rPr>
          <w:rFonts w:ascii="Arial" w:hAnsi="Arial" w:cs="Arial"/>
          <w:b/>
          <w:bCs/>
          <w:vertAlign w:val="superscript"/>
          <w:lang w:val="en-GB"/>
        </w:rPr>
        <w:t>th</w:t>
      </w:r>
      <w:r w:rsidR="00A92382">
        <w:rPr>
          <w:rFonts w:ascii="Arial" w:hAnsi="Arial" w:cs="Arial"/>
          <w:b/>
          <w:bCs/>
          <w:lang w:val="en-GB"/>
        </w:rPr>
        <w:t xml:space="preserve"> –</w:t>
      </w:r>
      <w:r w:rsidR="00A92382" w:rsidRPr="00525CF4">
        <w:rPr>
          <w:rFonts w:ascii="Arial" w:hAnsi="Arial" w:cs="Arial"/>
          <w:b/>
          <w:bCs/>
          <w:lang w:val="en-GB"/>
        </w:rPr>
        <w:t xml:space="preserve"> </w:t>
      </w:r>
      <w:r w:rsidR="00A92382">
        <w:rPr>
          <w:rFonts w:ascii="Arial" w:hAnsi="Arial" w:cs="Arial"/>
          <w:b/>
          <w:bCs/>
          <w:lang w:val="en-GB"/>
        </w:rPr>
        <w:t>1</w:t>
      </w:r>
      <w:r>
        <w:rPr>
          <w:rFonts w:ascii="Arial" w:hAnsi="Arial" w:cs="Arial" w:hint="eastAsia"/>
          <w:b/>
          <w:bCs/>
          <w:lang w:val="en-GB"/>
        </w:rPr>
        <w:t>8</w:t>
      </w:r>
      <w:r w:rsidR="00A92382" w:rsidRPr="00197C9B">
        <w:rPr>
          <w:rFonts w:ascii="Arial" w:hAnsi="Arial" w:cs="Arial"/>
          <w:b/>
          <w:bCs/>
          <w:vertAlign w:val="superscript"/>
          <w:lang w:val="en-GB"/>
        </w:rPr>
        <w:t>th</w:t>
      </w:r>
      <w:r w:rsidR="00A92382">
        <w:rPr>
          <w:rFonts w:ascii="Arial" w:hAnsi="Arial" w:cs="Arial"/>
          <w:b/>
          <w:bCs/>
          <w:lang w:val="en-GB"/>
        </w:rPr>
        <w:t xml:space="preserve"> </w:t>
      </w:r>
      <w:r>
        <w:rPr>
          <w:rFonts w:ascii="Arial" w:hAnsi="Arial" w:cs="Arial" w:hint="eastAsia"/>
          <w:b/>
          <w:bCs/>
          <w:lang w:val="en-GB"/>
        </w:rPr>
        <w:t>November</w:t>
      </w:r>
      <w:r w:rsidR="00A92382" w:rsidRPr="00525CF4">
        <w:rPr>
          <w:rFonts w:ascii="Arial" w:hAnsi="Arial" w:cs="Arial"/>
          <w:b/>
          <w:bCs/>
          <w:lang w:val="en-GB"/>
        </w:rPr>
        <w:t xml:space="preserve"> 201</w:t>
      </w:r>
      <w:r w:rsidR="00A92382">
        <w:rPr>
          <w:rFonts w:ascii="Arial" w:hAnsi="Arial" w:cs="Arial"/>
          <w:b/>
          <w:bCs/>
          <w:lang w:val="en-GB"/>
        </w:rPr>
        <w:t>6</w:t>
      </w:r>
    </w:p>
    <w:p w:rsidR="00EB4110" w:rsidRPr="00A17709" w:rsidRDefault="0023314C" w:rsidP="00BF697C">
      <w:pPr>
        <w:pStyle w:val="Header"/>
        <w:tabs>
          <w:tab w:val="clear" w:pos="4536"/>
        </w:tabs>
        <w:ind w:left="1870" w:hangingChars="850" w:hanging="1870"/>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651ECA">
        <w:rPr>
          <w:rFonts w:eastAsia="宋体"/>
          <w:sz w:val="22"/>
          <w:szCs w:val="22"/>
          <w:lang w:eastAsia="zh-CN"/>
        </w:rPr>
        <w:t xml:space="preserve"> </w:t>
      </w:r>
      <w:r w:rsidR="001B5F20">
        <w:rPr>
          <w:rFonts w:eastAsia="宋体" w:hint="eastAsia"/>
          <w:sz w:val="22"/>
          <w:szCs w:val="22"/>
          <w:lang w:eastAsia="zh-CN"/>
        </w:rPr>
        <w:t xml:space="preserve">  </w:t>
      </w:r>
      <w:r w:rsidR="00B40DD0">
        <w:rPr>
          <w:rFonts w:eastAsiaTheme="minorEastAsia" w:hint="eastAsia"/>
          <w:sz w:val="22"/>
          <w:szCs w:val="22"/>
          <w:lang w:eastAsia="zh-CN"/>
        </w:rPr>
        <w:t>ZTE</w:t>
      </w:r>
      <w:r w:rsidR="00EF3AB9">
        <w:rPr>
          <w:rFonts w:eastAsiaTheme="minorEastAsia"/>
          <w:sz w:val="22"/>
          <w:szCs w:val="22"/>
          <w:lang w:eastAsia="zh-CN"/>
        </w:rPr>
        <w:t>, ZTE</w:t>
      </w:r>
      <w:r w:rsidR="00EE0EE7">
        <w:rPr>
          <w:rFonts w:eastAsiaTheme="minorEastAsia" w:hint="eastAsia"/>
          <w:sz w:val="22"/>
          <w:szCs w:val="22"/>
          <w:lang w:eastAsia="zh-CN"/>
        </w:rPr>
        <w:t xml:space="preserve"> Microelectronic</w:t>
      </w:r>
      <w:r w:rsidR="00B40DD0">
        <w:rPr>
          <w:rFonts w:eastAsiaTheme="minorEastAsia" w:hint="eastAsia"/>
          <w:sz w:val="22"/>
          <w:szCs w:val="22"/>
          <w:lang w:eastAsia="zh-CN"/>
        </w:rPr>
        <w:t>s</w:t>
      </w:r>
    </w:p>
    <w:p w:rsidR="00EB4110" w:rsidRPr="00A87E50" w:rsidRDefault="0023314C" w:rsidP="00BF697C">
      <w:pPr>
        <w:pStyle w:val="Header"/>
        <w:tabs>
          <w:tab w:val="clear" w:pos="4536"/>
        </w:tabs>
        <w:ind w:left="1738" w:hangingChars="790" w:hanging="1738"/>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651ECA">
        <w:rPr>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651ECA">
        <w:rPr>
          <w:sz w:val="22"/>
          <w:szCs w:val="22"/>
        </w:rPr>
        <w:t xml:space="preserve"> </w:t>
      </w:r>
      <w:r w:rsidR="008F3A64" w:rsidRPr="007F142B">
        <w:rPr>
          <w:rFonts w:hint="eastAsia"/>
          <w:sz w:val="22"/>
          <w:szCs w:val="22"/>
        </w:rPr>
        <w:t xml:space="preserve"> </w:t>
      </w:r>
      <w:r w:rsidR="00651ECA" w:rsidRPr="00651ECA">
        <w:rPr>
          <w:sz w:val="22"/>
          <w:szCs w:val="22"/>
        </w:rPr>
        <w:t>Multi-TRP t</w:t>
      </w:r>
      <w:r w:rsidR="00242028">
        <w:rPr>
          <w:sz w:val="22"/>
          <w:szCs w:val="22"/>
        </w:rPr>
        <w:t>ransmission</w:t>
      </w:r>
      <w:r w:rsidR="00651ECA" w:rsidRPr="00651ECA">
        <w:rPr>
          <w:sz w:val="22"/>
          <w:szCs w:val="22"/>
        </w:rPr>
        <w:t xml:space="preserve"> for NR</w:t>
      </w:r>
    </w:p>
    <w:bookmarkEnd w:id="0"/>
    <w:bookmarkEnd w:id="1"/>
    <w:p w:rsidR="002C703A" w:rsidRPr="002479EE" w:rsidRDefault="002C703A" w:rsidP="002C703A">
      <w:pPr>
        <w:pStyle w:val="Header"/>
        <w:tabs>
          <w:tab w:val="left" w:pos="1800"/>
        </w:tabs>
        <w:ind w:left="1797" w:hanging="1797"/>
        <w:rPr>
          <w:rFonts w:eastAsiaTheme="minorEastAsia"/>
          <w:sz w:val="22"/>
          <w:szCs w:val="22"/>
          <w:lang w:eastAsia="zh-CN"/>
        </w:rPr>
      </w:pPr>
      <w:r w:rsidRPr="00C903DC">
        <w:rPr>
          <w:rFonts w:eastAsia="MS Gothic"/>
          <w:sz w:val="22"/>
          <w:szCs w:val="22"/>
        </w:rPr>
        <w:t>Agenda Item:</w:t>
      </w:r>
      <w:r w:rsidR="00651ECA">
        <w:rPr>
          <w:rFonts w:eastAsia="MS Gothic"/>
          <w:sz w:val="22"/>
          <w:szCs w:val="22"/>
        </w:rPr>
        <w:t xml:space="preserve">      </w:t>
      </w:r>
      <w:r>
        <w:rPr>
          <w:rFonts w:eastAsiaTheme="minorEastAsia" w:hint="eastAsia"/>
          <w:sz w:val="22"/>
          <w:szCs w:val="22"/>
          <w:lang w:eastAsia="zh-CN"/>
        </w:rPr>
        <w:t>7</w:t>
      </w:r>
      <w:r w:rsidRPr="00783022">
        <w:rPr>
          <w:rFonts w:eastAsiaTheme="minorEastAsia"/>
          <w:sz w:val="22"/>
          <w:szCs w:val="22"/>
          <w:lang w:eastAsia="zh-CN"/>
        </w:rPr>
        <w:t>.</w:t>
      </w:r>
      <w:r w:rsidRPr="00783022">
        <w:rPr>
          <w:rFonts w:eastAsiaTheme="minorEastAsia" w:hint="eastAsia"/>
          <w:sz w:val="22"/>
          <w:szCs w:val="22"/>
          <w:lang w:eastAsia="zh-CN"/>
        </w:rPr>
        <w:t>1</w:t>
      </w:r>
      <w:r w:rsidRPr="00783022">
        <w:rPr>
          <w:rFonts w:eastAsiaTheme="minorEastAsia"/>
          <w:sz w:val="22"/>
          <w:szCs w:val="22"/>
          <w:lang w:eastAsia="zh-CN"/>
        </w:rPr>
        <w:t>.</w:t>
      </w:r>
      <w:r w:rsidR="00651ECA">
        <w:rPr>
          <w:rFonts w:eastAsiaTheme="minorEastAsia" w:hint="eastAsia"/>
          <w:sz w:val="22"/>
          <w:szCs w:val="22"/>
          <w:lang w:eastAsia="zh-CN"/>
        </w:rPr>
        <w:t>3.1</w:t>
      </w:r>
    </w:p>
    <w:p w:rsidR="002C703A" w:rsidRPr="00C903DC" w:rsidRDefault="002C703A" w:rsidP="002C703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7E5079" w:rsidRPr="00CC55DB" w:rsidRDefault="0023314C" w:rsidP="00BF697C">
      <w:pPr>
        <w:pStyle w:val="Heading1"/>
        <w:spacing w:beforeLines="50" w:before="180" w:line="360" w:lineRule="auto"/>
        <w:ind w:left="431" w:hanging="431"/>
        <w:rPr>
          <w:sz w:val="28"/>
          <w:lang w:val="en-US"/>
        </w:rPr>
      </w:pPr>
      <w:r w:rsidRPr="00CC55DB">
        <w:rPr>
          <w:sz w:val="28"/>
          <w:lang w:val="en-US"/>
        </w:rPr>
        <w:t>Introduction</w:t>
      </w:r>
    </w:p>
    <w:bookmarkEnd w:id="2"/>
    <w:bookmarkEnd w:id="3"/>
    <w:p w:rsidR="006C57A1" w:rsidRPr="00F24175" w:rsidRDefault="00D41CF7" w:rsidP="001334C4">
      <w:pPr>
        <w:snapToGrid w:val="0"/>
        <w:spacing w:after="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Pr="00F24175">
        <w:rPr>
          <w:rFonts w:ascii="Times New Roman" w:hAnsi="Times New Roman" w:hint="eastAsia"/>
          <w:sz w:val="20"/>
          <w:szCs w:val="20"/>
          <w:lang w:val="en-GB"/>
        </w:rPr>
        <w:t>#</w:t>
      </w:r>
      <w:r w:rsidR="006C57A1" w:rsidRPr="00F24175">
        <w:rPr>
          <w:rFonts w:ascii="Times New Roman" w:hAnsi="Times New Roman" w:hint="eastAsia"/>
          <w:sz w:val="20"/>
          <w:szCs w:val="20"/>
          <w:lang w:val="en-GB"/>
        </w:rPr>
        <w:t>86bis</w:t>
      </w:r>
      <w:r w:rsidRPr="00F24175">
        <w:rPr>
          <w:rFonts w:ascii="Times New Roman" w:hAnsi="Times New Roman" w:hint="eastAsia"/>
          <w:sz w:val="20"/>
          <w:szCs w:val="20"/>
          <w:lang w:val="en-GB"/>
        </w:rPr>
        <w:t>,</w:t>
      </w:r>
      <w:r w:rsidR="001334C4" w:rsidRPr="00F24175">
        <w:rPr>
          <w:rFonts w:ascii="Times New Roman" w:hAnsi="Times New Roman" w:hint="eastAsia"/>
          <w:sz w:val="20"/>
          <w:szCs w:val="20"/>
          <w:lang w:val="en-GB"/>
        </w:rPr>
        <w:t xml:space="preserve"> </w:t>
      </w:r>
      <w:r w:rsidR="00FF7119" w:rsidRPr="00F24175">
        <w:rPr>
          <w:rFonts w:ascii="Times New Roman" w:hAnsi="Times New Roman"/>
          <w:sz w:val="20"/>
          <w:szCs w:val="20"/>
          <w:lang w:val="en-GB"/>
        </w:rPr>
        <w:t>network coordina</w:t>
      </w:r>
      <w:r w:rsidR="00236837" w:rsidRPr="00F24175">
        <w:rPr>
          <w:rFonts w:ascii="Times New Roman" w:hAnsi="Times New Roman"/>
          <w:sz w:val="20"/>
          <w:szCs w:val="20"/>
          <w:lang w:val="en-GB"/>
        </w:rPr>
        <w:t>tion and multi-TRP transmission</w:t>
      </w:r>
      <w:r w:rsidR="00FF7119" w:rsidRPr="00F24175">
        <w:rPr>
          <w:rFonts w:ascii="Times New Roman" w:hAnsi="Times New Roman"/>
          <w:sz w:val="20"/>
          <w:szCs w:val="20"/>
          <w:lang w:val="en-GB"/>
        </w:rPr>
        <w:t xml:space="preserve"> have been</w:t>
      </w:r>
      <w:r w:rsidR="00895DA4" w:rsidRPr="00F24175">
        <w:rPr>
          <w:rFonts w:ascii="Times New Roman" w:hAnsi="Times New Roman"/>
          <w:sz w:val="20"/>
          <w:szCs w:val="20"/>
          <w:lang w:val="en-GB"/>
        </w:rPr>
        <w:t xml:space="preserve"> discussed in several aspects including scenari</w:t>
      </w:r>
      <w:r w:rsidR="00581056" w:rsidRPr="00F24175">
        <w:rPr>
          <w:rFonts w:ascii="Times New Roman" w:hAnsi="Times New Roman"/>
          <w:sz w:val="20"/>
          <w:szCs w:val="20"/>
          <w:lang w:val="en-GB"/>
        </w:rPr>
        <w:t xml:space="preserve">os and simulation assumptions.  It was agreed that LTE-A Pro FeCoMP methodology is adopted for evaluation [1].  </w:t>
      </w:r>
    </w:p>
    <w:p w:rsidR="004B50A0" w:rsidRPr="00F24175" w:rsidRDefault="004B50A0" w:rsidP="001334C4">
      <w:pPr>
        <w:spacing w:after="0"/>
        <w:rPr>
          <w:rFonts w:ascii="Times New Roman" w:hAnsi="Times New Roman"/>
          <w:sz w:val="20"/>
          <w:szCs w:val="20"/>
          <w:u w:val="single"/>
          <w:lang w:val="en-GB"/>
        </w:rPr>
      </w:pPr>
      <w:r w:rsidRPr="00F24175">
        <w:rPr>
          <w:rFonts w:ascii="Times New Roman" w:hAnsi="Times New Roman"/>
          <w:sz w:val="20"/>
          <w:szCs w:val="20"/>
          <w:u w:val="single"/>
          <w:lang w:val="en-GB"/>
        </w:rPr>
        <w:t>Agreements:</w:t>
      </w:r>
    </w:p>
    <w:p w:rsidR="00FF7119" w:rsidRPr="00F24175" w:rsidRDefault="00FF7119" w:rsidP="00FF7119">
      <w:pPr>
        <w:numPr>
          <w:ilvl w:val="0"/>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For NR network coordination schemes, following three deployment scenarios are encouraged to be evaluated in phase 1</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Indoor hotspot, dense urban, urban macro</w:t>
      </w:r>
    </w:p>
    <w:p w:rsidR="00FF7119" w:rsidRPr="00F24175" w:rsidRDefault="00FF7119" w:rsidP="00FF7119">
      <w:pPr>
        <w:numPr>
          <w:ilvl w:val="0"/>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Use the simulation assumptions in TR 38.802 as baseline</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Adopt at least the FeCoMP (TR 36.741) methodology in terms of coordination</w:t>
      </w:r>
    </w:p>
    <w:p w:rsidR="00FF7119" w:rsidRPr="00F24175" w:rsidRDefault="00FF7119" w:rsidP="00FF7119">
      <w:pPr>
        <w:numPr>
          <w:ilvl w:val="2"/>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E.g. Coordination cluster size, backhaul latencies, traffic loads, etc.</w:t>
      </w:r>
    </w:p>
    <w:p w:rsidR="00FF7119" w:rsidRPr="00F24175" w:rsidRDefault="00FF7119" w:rsidP="00FF7119">
      <w:pPr>
        <w:numPr>
          <w:ilvl w:val="1"/>
          <w:numId w:val="23"/>
        </w:numPr>
        <w:spacing w:after="0" w:line="240" w:lineRule="auto"/>
        <w:rPr>
          <w:rFonts w:ascii="Times New Roman" w:hAnsi="Times New Roman"/>
          <w:sz w:val="20"/>
          <w:szCs w:val="20"/>
          <w:lang w:val="en-GB"/>
        </w:rPr>
      </w:pPr>
      <w:r w:rsidRPr="00F24175">
        <w:rPr>
          <w:rFonts w:ascii="Times New Roman" w:hAnsi="Times New Roman"/>
          <w:sz w:val="20"/>
          <w:szCs w:val="20"/>
          <w:lang w:val="en-GB"/>
        </w:rPr>
        <w:t>The parameterization from the agreements on email discussion for NR MIMO calibration [86-20] could be considered</w:t>
      </w:r>
    </w:p>
    <w:p w:rsidR="003E5F64" w:rsidRPr="003B4D34" w:rsidRDefault="003E5F64" w:rsidP="00BF697C">
      <w:pPr>
        <w:snapToGrid w:val="0"/>
        <w:spacing w:before="240" w:afterLines="50" w:after="180"/>
        <w:jc w:val="both"/>
        <w:rPr>
          <w:rFonts w:ascii="Times New Roman" w:hAnsi="Times New Roman"/>
          <w:sz w:val="20"/>
          <w:szCs w:val="20"/>
        </w:rPr>
      </w:pPr>
      <w:r w:rsidRPr="003B4D34">
        <w:rPr>
          <w:rFonts w:ascii="Times New Roman" w:hAnsi="Times New Roman"/>
          <w:sz w:val="20"/>
          <w:szCs w:val="20"/>
        </w:rPr>
        <w:t xml:space="preserve">Coordination among TRPs would enhance the stability and data rate of the link, especially for improving the coverage of cell-edge UEs.  In addition, it is expected spatial multiplexing is better supported by multi-TRP transmission to achieve higher degree of freedom for above 6GHz especially considering LOS situation.   In </w:t>
      </w:r>
      <w:r w:rsidR="00794411" w:rsidRPr="003B4D34">
        <w:rPr>
          <w:rFonts w:ascii="Times New Roman" w:hAnsi="Times New Roman"/>
          <w:sz w:val="20"/>
          <w:szCs w:val="20"/>
        </w:rPr>
        <w:t xml:space="preserve">the simulation assumptions agreed in </w:t>
      </w:r>
      <w:r w:rsidRPr="003B4D34">
        <w:rPr>
          <w:rFonts w:ascii="Times New Roman" w:hAnsi="Times New Roman"/>
          <w:sz w:val="20"/>
          <w:szCs w:val="20"/>
        </w:rPr>
        <w:t>[</w:t>
      </w:r>
      <w:r w:rsidR="003B4D34" w:rsidRPr="003B4D34">
        <w:rPr>
          <w:rFonts w:ascii="Times New Roman" w:hAnsi="Times New Roman"/>
          <w:sz w:val="20"/>
          <w:szCs w:val="20"/>
        </w:rPr>
        <w:t>3</w:t>
      </w:r>
      <w:r w:rsidRPr="003B4D34">
        <w:rPr>
          <w:rFonts w:ascii="Times New Roman" w:hAnsi="Times New Roman"/>
          <w:sz w:val="20"/>
          <w:szCs w:val="20"/>
        </w:rPr>
        <w:t xml:space="preserve">], UE antenna configuration has four panels facing different orientation.  Therefore, it is natural to consider UE to receive data from multiple TRPs or transmit data to multiple TPRs.  </w:t>
      </w:r>
      <w:r w:rsidRPr="003B4D34">
        <w:rPr>
          <w:rFonts w:ascii="Times New Roman" w:hAnsi="Times New Roman"/>
          <w:sz w:val="20"/>
          <w:szCs w:val="20"/>
          <w:lang w:val="en-GB"/>
        </w:rPr>
        <w:t xml:space="preserve">One of the FeCoMP schemes is non-coherent joint transmission (NCJT) which can be considered as a candidate transmission scheme for multi-TRP/panels transmission in NR. </w:t>
      </w:r>
      <w:r w:rsidRPr="003B4D34">
        <w:rPr>
          <w:rFonts w:ascii="Times New Roman" w:hAnsi="Times New Roman" w:hint="eastAsia"/>
          <w:sz w:val="20"/>
          <w:szCs w:val="20"/>
        </w:rPr>
        <w:t xml:space="preserve"> </w:t>
      </w:r>
    </w:p>
    <w:p w:rsidR="004335EC" w:rsidRPr="003B4D34" w:rsidRDefault="004335EC" w:rsidP="00BF697C">
      <w:pPr>
        <w:snapToGrid w:val="0"/>
        <w:spacing w:before="240" w:afterLines="50" w:after="180"/>
        <w:jc w:val="both"/>
        <w:rPr>
          <w:rFonts w:ascii="Times New Roman" w:hAnsi="Times New Roman"/>
          <w:sz w:val="20"/>
          <w:szCs w:val="20"/>
        </w:rPr>
      </w:pPr>
      <w:r w:rsidRPr="003B4D34">
        <w:rPr>
          <w:rFonts w:ascii="Times New Roman" w:hAnsi="Times New Roman" w:hint="eastAsia"/>
          <w:sz w:val="20"/>
          <w:szCs w:val="20"/>
          <w:lang w:val="en-GB"/>
        </w:rPr>
        <w:t xml:space="preserve">In this contribution, </w:t>
      </w:r>
      <w:r w:rsidR="0049373E" w:rsidRPr="003B4D34">
        <w:rPr>
          <w:rFonts w:ascii="Times New Roman" w:hAnsi="Times New Roman"/>
          <w:sz w:val="20"/>
          <w:szCs w:val="20"/>
          <w:lang w:val="en-GB"/>
        </w:rPr>
        <w:t xml:space="preserve">we discuss multi-TRP transmission in the aspects of </w:t>
      </w:r>
      <w:r w:rsidR="00432C2D" w:rsidRPr="003B4D34">
        <w:rPr>
          <w:rFonts w:ascii="Times New Roman" w:hAnsi="Times New Roman"/>
          <w:sz w:val="20"/>
          <w:szCs w:val="20"/>
          <w:lang w:val="en-GB"/>
        </w:rPr>
        <w:t xml:space="preserve">beam management, </w:t>
      </w:r>
      <w:r w:rsidR="001554E8">
        <w:rPr>
          <w:rFonts w:ascii="Times New Roman" w:hAnsi="Times New Roman"/>
          <w:sz w:val="20"/>
          <w:szCs w:val="20"/>
          <w:lang w:val="en-GB"/>
        </w:rPr>
        <w:t xml:space="preserve">codeword-to-layer mapping, </w:t>
      </w:r>
      <w:r w:rsidR="001554E8">
        <w:rPr>
          <w:rFonts w:ascii="Times New Roman" w:hAnsi="Times New Roman" w:hint="eastAsia"/>
          <w:sz w:val="20"/>
          <w:szCs w:val="20"/>
          <w:lang w:val="en-GB"/>
        </w:rPr>
        <w:t xml:space="preserve">resource </w:t>
      </w:r>
      <w:r w:rsidR="001554E8">
        <w:rPr>
          <w:rFonts w:ascii="Times New Roman" w:hAnsi="Times New Roman"/>
          <w:sz w:val="20"/>
          <w:szCs w:val="20"/>
          <w:lang w:val="en-GB"/>
        </w:rPr>
        <w:t>allocation</w:t>
      </w:r>
      <w:r w:rsidR="001554E8">
        <w:rPr>
          <w:rFonts w:ascii="Times New Roman" w:hAnsi="Times New Roman" w:hint="eastAsia"/>
          <w:sz w:val="20"/>
          <w:szCs w:val="20"/>
          <w:lang w:val="en-GB"/>
        </w:rPr>
        <w:t>,</w:t>
      </w:r>
      <w:r w:rsidR="001554E8">
        <w:rPr>
          <w:rFonts w:ascii="Times New Roman" w:hAnsi="Times New Roman"/>
          <w:sz w:val="20"/>
          <w:szCs w:val="20"/>
          <w:lang w:val="en-GB"/>
        </w:rPr>
        <w:t xml:space="preserve"> MCS assignment, </w:t>
      </w:r>
      <w:r w:rsidR="0049373E" w:rsidRPr="003B4D34">
        <w:rPr>
          <w:rFonts w:ascii="Times New Roman" w:hAnsi="Times New Roman"/>
          <w:sz w:val="20"/>
          <w:szCs w:val="20"/>
          <w:lang w:val="en-GB"/>
        </w:rPr>
        <w:t>CSI feedback</w:t>
      </w:r>
      <w:r w:rsidR="001554E8">
        <w:rPr>
          <w:rFonts w:ascii="Times New Roman" w:hAnsi="Times New Roman"/>
          <w:sz w:val="20"/>
          <w:szCs w:val="20"/>
          <w:lang w:val="en-GB"/>
        </w:rPr>
        <w:t xml:space="preserve"> and advanced receiver.  Initial evaluation results are provided.</w:t>
      </w:r>
    </w:p>
    <w:p w:rsidR="00B87C76" w:rsidRPr="00CC55DB" w:rsidRDefault="00B87C76" w:rsidP="00BF697C">
      <w:pPr>
        <w:pStyle w:val="Heading1"/>
        <w:snapToGrid w:val="0"/>
        <w:spacing w:beforeLines="100" w:before="360" w:line="360" w:lineRule="auto"/>
        <w:rPr>
          <w:sz w:val="28"/>
          <w:lang w:val="en-US"/>
        </w:rPr>
      </w:pPr>
      <w:r w:rsidRPr="00CC55DB">
        <w:rPr>
          <w:rFonts w:hint="eastAsia"/>
          <w:sz w:val="28"/>
          <w:lang w:val="en-US"/>
        </w:rPr>
        <w:t>Joint Transmission</w:t>
      </w:r>
    </w:p>
    <w:p w:rsidR="009538DD" w:rsidRPr="001162A8" w:rsidRDefault="00DC397C" w:rsidP="00BF697C">
      <w:pPr>
        <w:snapToGrid w:val="0"/>
        <w:spacing w:afterLines="50" w:after="180"/>
        <w:jc w:val="both"/>
        <w:rPr>
          <w:rFonts w:ascii="Times New Roman" w:hAnsi="Times New Roman"/>
          <w:sz w:val="20"/>
          <w:szCs w:val="20"/>
          <w:lang w:val="en-GB"/>
        </w:rPr>
      </w:pPr>
      <w:r w:rsidRPr="001162A8">
        <w:rPr>
          <w:rFonts w:ascii="Times New Roman" w:hAnsi="Times New Roman"/>
          <w:sz w:val="20"/>
          <w:szCs w:val="20"/>
          <w:lang w:val="en-GB"/>
        </w:rPr>
        <w:t>Joint transmission is one of the CoMP schemes considered in LTE [</w:t>
      </w:r>
      <w:r w:rsidR="003B4D34">
        <w:rPr>
          <w:rFonts w:ascii="Times New Roman" w:hAnsi="Times New Roman"/>
          <w:sz w:val="20"/>
          <w:szCs w:val="20"/>
          <w:lang w:val="en-GB"/>
        </w:rPr>
        <w:t>4</w:t>
      </w:r>
      <w:r w:rsidRPr="001162A8">
        <w:rPr>
          <w:rFonts w:ascii="Times New Roman" w:hAnsi="Times New Roman"/>
          <w:sz w:val="20"/>
          <w:szCs w:val="20"/>
          <w:lang w:val="en-GB"/>
        </w:rPr>
        <w:t xml:space="preserve">].  However, </w:t>
      </w:r>
      <w:r w:rsidR="009538DD" w:rsidRPr="001162A8">
        <w:rPr>
          <w:rFonts w:ascii="Times New Roman" w:hAnsi="Times New Roman"/>
          <w:sz w:val="20"/>
          <w:szCs w:val="20"/>
          <w:lang w:val="en-GB"/>
        </w:rPr>
        <w:t>coherent joint transmissio</w:t>
      </w:r>
      <w:r w:rsidR="00502E92" w:rsidRPr="001162A8">
        <w:rPr>
          <w:rFonts w:ascii="Times New Roman" w:hAnsi="Times New Roman"/>
          <w:sz w:val="20"/>
          <w:szCs w:val="20"/>
          <w:lang w:val="en-GB"/>
        </w:rPr>
        <w:t>n has high requirements on synchronization and</w:t>
      </w:r>
      <w:r w:rsidR="009538DD" w:rsidRPr="001162A8">
        <w:rPr>
          <w:rFonts w:ascii="Times New Roman" w:hAnsi="Times New Roman"/>
          <w:sz w:val="20"/>
          <w:szCs w:val="20"/>
          <w:lang w:val="en-GB"/>
        </w:rPr>
        <w:t xml:space="preserve"> calibration.   Sta</w:t>
      </w:r>
      <w:r w:rsidR="00502E92" w:rsidRPr="001162A8">
        <w:rPr>
          <w:rFonts w:ascii="Times New Roman" w:hAnsi="Times New Roman"/>
          <w:sz w:val="20"/>
          <w:szCs w:val="20"/>
          <w:lang w:val="en-GB"/>
        </w:rPr>
        <w:t>ndardization of Rel-11 CoMP did</w:t>
      </w:r>
      <w:r w:rsidR="009538DD" w:rsidRPr="001162A8">
        <w:rPr>
          <w:rFonts w:ascii="Times New Roman" w:hAnsi="Times New Roman"/>
          <w:sz w:val="20"/>
          <w:szCs w:val="20"/>
          <w:lang w:val="en-GB"/>
        </w:rPr>
        <w:t xml:space="preserve"> not consider optimization of joint transmission.  In Rel-14,  FeCoMP SI is setup to study further enhancements of CoMP schemes.  One of the schemes is non-coherent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3B4727" w:rsidRPr="001162A8">
        <w:rPr>
          <w:rFonts w:ascii="Times New Roman" w:hAnsi="Times New Roman"/>
          <w:sz w:val="20"/>
          <w:szCs w:val="20"/>
          <w:lang w:val="en-GB"/>
        </w:rPr>
        <w:t xml:space="preserve"> [</w:t>
      </w:r>
      <w:r w:rsidR="003B4D34">
        <w:rPr>
          <w:rFonts w:ascii="Times New Roman" w:hAnsi="Times New Roman"/>
          <w:sz w:val="20"/>
          <w:szCs w:val="20"/>
          <w:lang w:val="en-GB"/>
        </w:rPr>
        <w:t>5</w:t>
      </w:r>
      <w:r w:rsidR="003B4727" w:rsidRPr="001162A8">
        <w:rPr>
          <w:rFonts w:ascii="Times New Roman" w:hAnsi="Times New Roman"/>
          <w:sz w:val="20"/>
          <w:szCs w:val="20"/>
          <w:lang w:val="en-GB"/>
        </w:rPr>
        <w:t>]</w:t>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lastRenderedPageBreak/>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Default="0025562C" w:rsidP="00BF697C">
      <w:pPr>
        <w:snapToGrid w:val="0"/>
        <w:spacing w:before="240" w:afterLines="50" w:after="180"/>
        <w:jc w:val="both"/>
        <w:rPr>
          <w:rFonts w:ascii="Times New Roman" w:hAnsi="Times New Roman"/>
        </w:rPr>
      </w:pPr>
      <w:r>
        <w:rPr>
          <w:rFonts w:ascii="Times New Roman" w:hAnsi="Times New Roman" w:hint="eastAsia"/>
        </w:rPr>
        <w:t>It</w:t>
      </w:r>
      <w:r>
        <w:rPr>
          <w:rFonts w:ascii="Times New Roman" w:hAnsi="Times New Roman"/>
        </w:rPr>
        <w:t xml:space="preserve"> is observed that scheme 1 and scheme 3 </w:t>
      </w:r>
      <w:r w:rsidR="001162A8">
        <w:rPr>
          <w:rFonts w:ascii="Times New Roman" w:hAnsi="Times New Roman"/>
        </w:rPr>
        <w:t>often require</w:t>
      </w:r>
      <w:r>
        <w:rPr>
          <w:rFonts w:ascii="Times New Roman" w:hAnsi="Times New Roman"/>
        </w:rPr>
        <w:t xml:space="preserve"> coordination to m</w:t>
      </w:r>
      <w:r w:rsidR="001162A8">
        <w:rPr>
          <w:rFonts w:ascii="Times New Roman" w:hAnsi="Times New Roman"/>
        </w:rPr>
        <w:t xml:space="preserve">ake sure it is fully overlapped.  Scheme 3 allows the case without much coordination.  </w:t>
      </w:r>
    </w:p>
    <w:p w:rsidR="00E771C6" w:rsidRPr="0035450E" w:rsidRDefault="005D3328" w:rsidP="00BF697C">
      <w:pPr>
        <w:snapToGrid w:val="0"/>
        <w:spacing w:afterLines="50" w:after="180"/>
        <w:jc w:val="both"/>
        <w:rPr>
          <w:rFonts w:ascii="Times New Roman" w:hAnsi="Times New Roman"/>
          <w:sz w:val="20"/>
          <w:szCs w:val="20"/>
        </w:rPr>
      </w:pPr>
      <w:r w:rsidRPr="0035450E">
        <w:rPr>
          <w:rFonts w:ascii="Times New Roman" w:hAnsi="Times New Roman" w:hint="eastAsia"/>
          <w:sz w:val="20"/>
          <w:szCs w:val="20"/>
        </w:rPr>
        <w:t xml:space="preserve">We can consider these three cases of </w:t>
      </w:r>
      <w:r w:rsidRPr="0035450E">
        <w:rPr>
          <w:rFonts w:ascii="Times New Roman" w:hAnsi="Times New Roman"/>
          <w:sz w:val="20"/>
          <w:szCs w:val="20"/>
        </w:rPr>
        <w:t xml:space="preserve">codewords to TP mapping and resource allocation schemes as the starting point of study on joint transmission for NR MIMO.  </w:t>
      </w:r>
      <w:r w:rsidR="00E771C6" w:rsidRPr="0035450E">
        <w:rPr>
          <w:rFonts w:ascii="Times New Roman" w:hAnsi="Times New Roman"/>
          <w:sz w:val="20"/>
          <w:szCs w:val="20"/>
        </w:rPr>
        <w:t xml:space="preserve">Considering this starting point, we list out some of </w:t>
      </w:r>
      <w:r w:rsidR="0035450E">
        <w:rPr>
          <w:rFonts w:ascii="Times New Roman" w:hAnsi="Times New Roman"/>
          <w:sz w:val="20"/>
          <w:szCs w:val="20"/>
        </w:rPr>
        <w:t>the aspects for consideration on</w:t>
      </w:r>
      <w:r w:rsidR="00E771C6" w:rsidRPr="0035450E">
        <w:rPr>
          <w:rFonts w:ascii="Times New Roman" w:hAnsi="Times New Roman"/>
          <w:sz w:val="20"/>
          <w:szCs w:val="20"/>
        </w:rPr>
        <w:t xml:space="preserve"> the standardization support for </w:t>
      </w:r>
      <w:r w:rsidR="002932B4">
        <w:rPr>
          <w:rFonts w:ascii="Times New Roman" w:hAnsi="Times New Roman"/>
          <w:sz w:val="20"/>
          <w:szCs w:val="20"/>
        </w:rPr>
        <w:t xml:space="preserve">multi-TRP </w:t>
      </w:r>
      <w:r w:rsidR="00E771C6" w:rsidRPr="0035450E">
        <w:rPr>
          <w:rFonts w:ascii="Times New Roman" w:hAnsi="Times New Roman"/>
          <w:sz w:val="20"/>
          <w:szCs w:val="20"/>
        </w:rPr>
        <w:t>joint transmission.</w:t>
      </w:r>
    </w:p>
    <w:p w:rsidR="007C6030" w:rsidRPr="00C81F99" w:rsidRDefault="007C6030" w:rsidP="00BF697C">
      <w:pPr>
        <w:pStyle w:val="ListParagraph"/>
        <w:numPr>
          <w:ilvl w:val="0"/>
          <w:numId w:val="25"/>
        </w:numPr>
        <w:snapToGrid w:val="0"/>
        <w:spacing w:afterLines="50" w:after="180"/>
        <w:ind w:firstLineChars="0"/>
        <w:rPr>
          <w:b/>
        </w:rPr>
      </w:pPr>
      <w:r>
        <w:rPr>
          <w:b/>
        </w:rPr>
        <w:t>Beam management</w:t>
      </w:r>
      <w:r w:rsidR="00D17B04">
        <w:rPr>
          <w:b/>
        </w:rPr>
        <w:t xml:space="preserve"> </w:t>
      </w:r>
    </w:p>
    <w:p w:rsidR="007C6030" w:rsidRPr="00716822" w:rsidRDefault="007C6030" w:rsidP="00BF697C">
      <w:pPr>
        <w:pStyle w:val="ListParagraph"/>
        <w:snapToGrid w:val="0"/>
        <w:spacing w:afterLines="50" w:after="180" w:line="276" w:lineRule="auto"/>
        <w:ind w:left="720" w:firstLineChars="0" w:firstLine="0"/>
        <w:rPr>
          <w:sz w:val="20"/>
          <w:szCs w:val="20"/>
        </w:rPr>
      </w:pPr>
      <w:r w:rsidRPr="007C6030">
        <w:rPr>
          <w:sz w:val="20"/>
          <w:szCs w:val="20"/>
        </w:rPr>
        <w:t xml:space="preserve">In RAN1#86bis, it was agreed to study the coherent/non-coherent MIMO transmission based on uniform/non-uniform array structure at TRP or UE [1].  In RAN1#86, it was agreed to strive for the same procedure design for intra-TRP and inter-TRP beam management [2].   With this agreement, MIMO transmission based on multiple panels at the same TRP or at different TPRs should share the same beam management procedure. </w:t>
      </w:r>
      <w:r w:rsidR="00716822">
        <w:rPr>
          <w:sz w:val="20"/>
          <w:szCs w:val="20"/>
        </w:rPr>
        <w:t xml:space="preserve">  </w:t>
      </w:r>
      <w:r w:rsidRPr="00716822">
        <w:rPr>
          <w:sz w:val="20"/>
          <w:szCs w:val="20"/>
        </w:rPr>
        <w:t>Unified beam management framework should be considered for beam management</w:t>
      </w:r>
      <w:r w:rsidR="003E5F64" w:rsidRPr="00716822">
        <w:rPr>
          <w:sz w:val="20"/>
          <w:szCs w:val="20"/>
        </w:rPr>
        <w:t xml:space="preserve"> from one or multiple TRPs.</w:t>
      </w:r>
      <w:r w:rsidRPr="00716822">
        <w:rPr>
          <w:sz w:val="20"/>
          <w:szCs w:val="20"/>
        </w:rPr>
        <w:t xml:space="preserve">  In [</w:t>
      </w:r>
      <w:r w:rsidR="003B4D34">
        <w:rPr>
          <w:sz w:val="20"/>
          <w:szCs w:val="20"/>
        </w:rPr>
        <w:t>6</w:t>
      </w:r>
      <w:r w:rsidRPr="00716822">
        <w:rPr>
          <w:sz w:val="20"/>
          <w:szCs w:val="20"/>
        </w:rPr>
        <w:t>], the concept of beam grouping is introduced.  Beam grouping can be used for multip</w:t>
      </w:r>
      <w:r w:rsidR="0035450E">
        <w:rPr>
          <w:sz w:val="20"/>
          <w:szCs w:val="20"/>
        </w:rPr>
        <w:t>le TRP transmission so that</w:t>
      </w:r>
      <w:r w:rsidRPr="00716822">
        <w:rPr>
          <w:sz w:val="20"/>
          <w:szCs w:val="20"/>
        </w:rPr>
        <w:t xml:space="preserve"> beams are grouped based on </w:t>
      </w:r>
      <w:r w:rsidR="0035450E">
        <w:rPr>
          <w:sz w:val="20"/>
          <w:szCs w:val="20"/>
        </w:rPr>
        <w:t>channel properties</w:t>
      </w:r>
      <w:r w:rsidRPr="00716822">
        <w:rPr>
          <w:sz w:val="20"/>
          <w:szCs w:val="20"/>
        </w:rPr>
        <w:t xml:space="preserve">.   </w:t>
      </w:r>
      <w:r w:rsidR="0035450E">
        <w:rPr>
          <w:sz w:val="20"/>
          <w:szCs w:val="20"/>
        </w:rPr>
        <w:t xml:space="preserve">Beam indication is done via QCL. </w:t>
      </w:r>
    </w:p>
    <w:p w:rsidR="00C81F99" w:rsidRPr="00C81F99" w:rsidRDefault="00C81F99" w:rsidP="00BF697C">
      <w:pPr>
        <w:pStyle w:val="ListParagraph"/>
        <w:numPr>
          <w:ilvl w:val="0"/>
          <w:numId w:val="25"/>
        </w:numPr>
        <w:snapToGrid w:val="0"/>
        <w:spacing w:afterLines="50" w:after="180"/>
        <w:ind w:firstLineChars="0"/>
        <w:rPr>
          <w:b/>
        </w:rPr>
      </w:pPr>
      <w:r w:rsidRPr="00C81F99">
        <w:rPr>
          <w:rFonts w:hint="eastAsia"/>
          <w:b/>
        </w:rPr>
        <w:t>C</w:t>
      </w:r>
      <w:r w:rsidRPr="00C81F99">
        <w:rPr>
          <w:b/>
        </w:rPr>
        <w:t>odeword-to-layer mapping</w:t>
      </w:r>
    </w:p>
    <w:p w:rsidR="001162A8" w:rsidRDefault="005B0060" w:rsidP="00BF697C">
      <w:pPr>
        <w:pStyle w:val="ListParagraph"/>
        <w:snapToGrid w:val="0"/>
        <w:spacing w:afterLines="50" w:after="180" w:line="276" w:lineRule="auto"/>
        <w:ind w:left="720" w:firstLineChars="0" w:firstLine="0"/>
        <w:rPr>
          <w:sz w:val="20"/>
          <w:szCs w:val="20"/>
        </w:rPr>
      </w:pPr>
      <w:r w:rsidRPr="00C81F99">
        <w:rPr>
          <w:sz w:val="20"/>
          <w:szCs w:val="20"/>
        </w:rPr>
        <w:t xml:space="preserve">In LTE, codeword to layer mapping between two codewords is pre-defined without much flexibility.  In NR, the number of codewords has yet to be determined.   Considering complexity, it may be difficult to consider one codeword per layer i.e. one to one codeword to layer mapping.   </w:t>
      </w:r>
      <w:r w:rsidR="001162A8" w:rsidRPr="00C81F99">
        <w:rPr>
          <w:sz w:val="20"/>
          <w:szCs w:val="20"/>
        </w:rPr>
        <w:t>In order to support all the codeword-TP mapping cases, flexible codeword to laye</w:t>
      </w:r>
      <w:r w:rsidRPr="00C81F99">
        <w:rPr>
          <w:sz w:val="20"/>
          <w:szCs w:val="20"/>
        </w:rPr>
        <w:t>r mapping should be considered to minimize the coordination between TRPs.</w:t>
      </w:r>
    </w:p>
    <w:p w:rsidR="00C81F99" w:rsidRPr="00C81F99" w:rsidRDefault="00C81F99" w:rsidP="00BF697C">
      <w:pPr>
        <w:pStyle w:val="ListParagraph"/>
        <w:numPr>
          <w:ilvl w:val="0"/>
          <w:numId w:val="25"/>
        </w:numPr>
        <w:snapToGrid w:val="0"/>
        <w:spacing w:afterLines="50" w:after="180"/>
        <w:ind w:firstLineChars="0"/>
        <w:rPr>
          <w:b/>
        </w:rPr>
      </w:pPr>
      <w:r>
        <w:rPr>
          <w:b/>
        </w:rPr>
        <w:t>Control signaling on resource allocation</w:t>
      </w:r>
    </w:p>
    <w:p w:rsidR="00C81F99" w:rsidRPr="007C6030" w:rsidRDefault="00C81F99" w:rsidP="00BF697C">
      <w:pPr>
        <w:pStyle w:val="ListParagraph"/>
        <w:snapToGrid w:val="0"/>
        <w:spacing w:afterLines="50" w:after="180" w:line="276" w:lineRule="auto"/>
        <w:ind w:left="720" w:firstLineChars="0" w:firstLine="0"/>
        <w:rPr>
          <w:sz w:val="20"/>
          <w:szCs w:val="20"/>
        </w:rPr>
      </w:pPr>
      <w:r w:rsidRPr="007C6030">
        <w:rPr>
          <w:sz w:val="20"/>
          <w:szCs w:val="20"/>
        </w:rPr>
        <w:t xml:space="preserve">In LTE, resource allocation for one component carrier can be only signaled by one DCI.  In order to support three resource allocation schemes in NR, more flexible control signaling should be considered.  It is beneficial to consider the case (e.g. one DCI case) in which one control signaling is sent from one TRP to inform the overall resource allocation and the case (e.g. multiple DCI case)  in which each TRP can send its own control signaling to inform the UE its own resource allocation. </w:t>
      </w:r>
    </w:p>
    <w:p w:rsidR="00C81F99" w:rsidRPr="00C81F99" w:rsidRDefault="00C81F99" w:rsidP="00BF697C">
      <w:pPr>
        <w:pStyle w:val="ListParagraph"/>
        <w:numPr>
          <w:ilvl w:val="0"/>
          <w:numId w:val="25"/>
        </w:numPr>
        <w:snapToGrid w:val="0"/>
        <w:spacing w:afterLines="50" w:after="180"/>
        <w:ind w:firstLineChars="0"/>
        <w:rPr>
          <w:b/>
        </w:rPr>
      </w:pPr>
      <w:r>
        <w:rPr>
          <w:b/>
        </w:rPr>
        <w:t>MCS assignment</w:t>
      </w:r>
    </w:p>
    <w:p w:rsidR="00C81F99" w:rsidRDefault="00C81F99" w:rsidP="00BF697C">
      <w:pPr>
        <w:pStyle w:val="ListParagraph"/>
        <w:snapToGrid w:val="0"/>
        <w:spacing w:afterLines="50" w:after="180" w:line="276" w:lineRule="auto"/>
        <w:ind w:left="720" w:firstLineChars="0" w:firstLine="0"/>
        <w:rPr>
          <w:sz w:val="20"/>
          <w:szCs w:val="20"/>
        </w:rPr>
      </w:pPr>
      <w:r>
        <w:rPr>
          <w:sz w:val="20"/>
          <w:szCs w:val="20"/>
        </w:rPr>
        <w:t xml:space="preserve">In LTE, MCS assignment is done per codeword i.e. both modulation and coding are the same across the </w:t>
      </w:r>
      <w:r>
        <w:rPr>
          <w:sz w:val="20"/>
          <w:szCs w:val="20"/>
        </w:rPr>
        <w:lastRenderedPageBreak/>
        <w:t xml:space="preserve">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7C6030" w:rsidRDefault="007C6030" w:rsidP="00BF697C">
      <w:pPr>
        <w:pStyle w:val="ListParagraph"/>
        <w:numPr>
          <w:ilvl w:val="0"/>
          <w:numId w:val="25"/>
        </w:numPr>
        <w:snapToGrid w:val="0"/>
        <w:spacing w:afterLines="50" w:after="180"/>
        <w:ind w:firstLineChars="0"/>
        <w:rPr>
          <w:b/>
        </w:rPr>
      </w:pPr>
      <w:r>
        <w:rPr>
          <w:rFonts w:hint="eastAsia"/>
          <w:b/>
        </w:rPr>
        <w:t>CSI feedback</w:t>
      </w:r>
    </w:p>
    <w:p w:rsidR="007C6030" w:rsidRPr="008F6506" w:rsidRDefault="007C6030" w:rsidP="00BF697C">
      <w:pPr>
        <w:pStyle w:val="ListParagraph"/>
        <w:snapToGrid w:val="0"/>
        <w:spacing w:afterLines="50" w:after="18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 xml:space="preserve">aggregated CSI feedback.  Design of aperiodic CSI can be more flexible so that multiple CSI-RS resources can be selected for channel measurement considering JT.   CSI feedback considering different codeword to layer mapping should also be supported. </w:t>
      </w:r>
    </w:p>
    <w:p w:rsidR="007C6030" w:rsidRPr="00C81F99" w:rsidRDefault="007C6030" w:rsidP="00BF697C">
      <w:pPr>
        <w:pStyle w:val="ListParagraph"/>
        <w:numPr>
          <w:ilvl w:val="0"/>
          <w:numId w:val="25"/>
        </w:numPr>
        <w:snapToGrid w:val="0"/>
        <w:spacing w:afterLines="50" w:after="180"/>
        <w:ind w:firstLineChars="0"/>
        <w:rPr>
          <w:b/>
        </w:rPr>
      </w:pPr>
      <w:r>
        <w:rPr>
          <w:b/>
        </w:rPr>
        <w:t xml:space="preserve">Advanced receiver </w:t>
      </w:r>
    </w:p>
    <w:p w:rsidR="00B87C76" w:rsidRDefault="007C6030" w:rsidP="00BF697C">
      <w:pPr>
        <w:pStyle w:val="ListParagraph"/>
        <w:snapToGrid w:val="0"/>
        <w:spacing w:afterLines="50" w:after="18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6C44CF">
        <w:rPr>
          <w:sz w:val="20"/>
          <w:szCs w:val="20"/>
        </w:rPr>
        <w:t xml:space="preserve"> [7]</w:t>
      </w:r>
      <w:r w:rsidR="008F6506">
        <w:rPr>
          <w:sz w:val="20"/>
          <w:szCs w:val="20"/>
        </w:rPr>
        <w:t>.</w:t>
      </w:r>
      <w:r w:rsidR="006C44CF">
        <w:rPr>
          <w:sz w:val="20"/>
          <w:szCs w:val="20"/>
        </w:rPr>
        <w:t xml:space="preserve">  </w:t>
      </w:r>
    </w:p>
    <w:p w:rsidR="004D7E2F" w:rsidRPr="004D7E2F" w:rsidRDefault="004D7E2F" w:rsidP="00BF697C">
      <w:pPr>
        <w:snapToGrid w:val="0"/>
        <w:spacing w:afterLines="50" w:after="18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4D7E2F" w:rsidRPr="00BC25B7" w:rsidRDefault="004D7E2F" w:rsidP="00BF697C">
      <w:pPr>
        <w:snapToGrid w:val="0"/>
        <w:spacing w:afterLines="50" w:after="18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4D7E2F" w:rsidRPr="00B93473" w:rsidRDefault="004D7E2F" w:rsidP="00BF697C">
      <w:pPr>
        <w:snapToGrid w:val="0"/>
        <w:spacing w:afterLines="50" w:after="18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D839B0" w:rsidRPr="00CC55DB" w:rsidRDefault="00F24175" w:rsidP="00BF697C">
      <w:pPr>
        <w:pStyle w:val="Heading1"/>
        <w:snapToGrid w:val="0"/>
        <w:spacing w:beforeLines="100" w:before="360" w:line="360" w:lineRule="auto"/>
        <w:rPr>
          <w:sz w:val="28"/>
          <w:lang w:val="en-US"/>
        </w:rPr>
      </w:pPr>
      <w:r w:rsidRPr="00CC55DB">
        <w:rPr>
          <w:sz w:val="28"/>
          <w:lang w:val="en-US"/>
        </w:rPr>
        <w:t>Performance evaluation</w:t>
      </w:r>
    </w:p>
    <w:p w:rsidR="00D839B0" w:rsidRDefault="00BA08F5" w:rsidP="00BA08F5">
      <w:pPr>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384935"/>
                    </a:xfrm>
                    <a:prstGeom prst="rect">
                      <a:avLst/>
                    </a:prstGeom>
                    <a:noFill/>
                    <a:ln>
                      <a:noFill/>
                    </a:ln>
                  </pic:spPr>
                </pic:pic>
              </a:graphicData>
            </a:graphic>
          </wp:inline>
        </w:drawing>
      </w:r>
    </w:p>
    <w:p w:rsidR="00BA08F5" w:rsidRPr="00BA08F5" w:rsidRDefault="00BA08F5" w:rsidP="00BA08F5">
      <w:pPr>
        <w:jc w:val="center"/>
        <w:rPr>
          <w:rFonts w:ascii="Times New Roman" w:hAnsi="Times New Roman"/>
          <w:sz w:val="20"/>
          <w:szCs w:val="20"/>
        </w:rPr>
      </w:pPr>
      <w:r w:rsidRPr="00BA08F5">
        <w:rPr>
          <w:rFonts w:ascii="Times New Roman" w:hAnsi="Times New Roman"/>
          <w:b/>
          <w:sz w:val="20"/>
          <w:szCs w:val="20"/>
        </w:rPr>
        <w:t>Figure 1</w:t>
      </w:r>
      <w:r w:rsidRPr="00BA08F5">
        <w:rPr>
          <w:rFonts w:ascii="Times New Roman" w:hAnsi="Times New Roman"/>
          <w:sz w:val="20"/>
          <w:szCs w:val="20"/>
        </w:rPr>
        <w:t xml:space="preserve"> Indoor Hotspot</w:t>
      </w:r>
    </w:p>
    <w:p w:rsidR="00BA08F5" w:rsidRPr="00501AA4" w:rsidRDefault="00501AA4" w:rsidP="00BA08F5">
      <w:pPr>
        <w:pStyle w:val="Caption"/>
        <w:keepNext/>
        <w:jc w:val="both"/>
        <w:rPr>
          <w:b w:val="0"/>
          <w:lang w:val="en-US"/>
        </w:rPr>
      </w:pPr>
      <w:r>
        <w:rPr>
          <w:rFonts w:hint="eastAsia"/>
          <w:b w:val="0"/>
        </w:rPr>
        <w:t xml:space="preserve">System level simulation is done to evaluate the performance benefits of non-coherent JT under the scenario of indoor hotspot. </w:t>
      </w:r>
      <w:r>
        <w:rPr>
          <w:b w:val="0"/>
        </w:rPr>
        <w:t xml:space="preserve"> Simulation assumptions can be found in the Appendix.  </w:t>
      </w:r>
      <w:r w:rsidRPr="00501AA4">
        <w:rPr>
          <w:b w:val="0"/>
        </w:rPr>
        <w:t xml:space="preserve">It can be observed that NCJT can provide performance gain comparing with the baseline with DPS/DPB. </w:t>
      </w:r>
      <w:r>
        <w:rPr>
          <w:b w:val="0"/>
        </w:rPr>
        <w:t xml:space="preserve"> In low load scenarios, </w:t>
      </w:r>
      <w:r w:rsidRPr="00501AA4">
        <w:rPr>
          <w:b w:val="0"/>
        </w:rPr>
        <w:t xml:space="preserve">NCJT </w:t>
      </w:r>
      <w:r w:rsidR="00283030">
        <w:rPr>
          <w:b w:val="0"/>
        </w:rPr>
        <w:t>provided</w:t>
      </w:r>
      <w:r w:rsidRPr="00501AA4">
        <w:rPr>
          <w:b w:val="0"/>
        </w:rPr>
        <w:t xml:space="preserve"> </w:t>
      </w:r>
      <w:r w:rsidR="00283030">
        <w:rPr>
          <w:b w:val="0"/>
        </w:rPr>
        <w:t xml:space="preserve">tremendous </w:t>
      </w:r>
      <w:r w:rsidRPr="00501AA4">
        <w:rPr>
          <w:b w:val="0"/>
        </w:rPr>
        <w:t xml:space="preserve">gain </w:t>
      </w:r>
      <w:r w:rsidR="009A361C">
        <w:rPr>
          <w:b w:val="0"/>
        </w:rPr>
        <w:t>i</w:t>
      </w:r>
      <w:r>
        <w:rPr>
          <w:b w:val="0"/>
        </w:rPr>
        <w:t xml:space="preserve">n all regions of the UPT </w:t>
      </w:r>
      <w:r w:rsidR="00283030">
        <w:rPr>
          <w:b w:val="0"/>
        </w:rPr>
        <w:t xml:space="preserve">metrics.   High percentile UEs tend to have better gain.  It can reach as high as </w:t>
      </w:r>
      <w:r w:rsidR="001671BA">
        <w:rPr>
          <w:rFonts w:hint="eastAsia"/>
          <w:b w:val="0"/>
          <w:lang w:eastAsia="zh-CN"/>
        </w:rPr>
        <w:t>46</w:t>
      </w:r>
      <w:r w:rsidR="00283030">
        <w:rPr>
          <w:b w:val="0"/>
        </w:rPr>
        <w:t xml:space="preserve">% </w:t>
      </w:r>
      <w:r w:rsidR="00283030">
        <w:rPr>
          <w:b w:val="0"/>
        </w:rPr>
        <w:lastRenderedPageBreak/>
        <w:t>gain for low load scenarios.  For these UEs, the major benefit is coming from supporting more transmission layers with joint transmission.</w:t>
      </w:r>
      <w:r w:rsidR="00F15ED5">
        <w:rPr>
          <w:b w:val="0"/>
        </w:rPr>
        <w:t xml:space="preserve">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47381B" w:rsidRDefault="0047381B" w:rsidP="0047381B">
      <w:pPr>
        <w:pStyle w:val="Caption"/>
        <w:keepNext/>
        <w:jc w:val="center"/>
        <w:rPr>
          <w:lang w:eastAsia="zh-CN"/>
        </w:rPr>
      </w:pPr>
      <w:r>
        <w:t xml:space="preserve">Table </w:t>
      </w:r>
      <w:r w:rsidR="00C91E02">
        <w:fldChar w:fldCharType="begin"/>
      </w:r>
      <w:r>
        <w:instrText xml:space="preserve"> SEQ Table \* ARABIC </w:instrText>
      </w:r>
      <w:r w:rsidR="00C91E02">
        <w:fldChar w:fldCharType="separate"/>
      </w:r>
      <w:r>
        <w:rPr>
          <w:noProof/>
        </w:rPr>
        <w:t>1</w:t>
      </w:r>
      <w:r w:rsidR="00C91E02">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w:t>
      </w:r>
      <w:r w:rsidR="00BF697C">
        <w:rPr>
          <w:rFonts w:hint="eastAsia"/>
          <w:bCs w:val="0"/>
          <w:lang w:eastAsia="zh-CN"/>
        </w:rPr>
        <w:t>10</w:t>
      </w:r>
      <w:r>
        <w:rPr>
          <w:rFonts w:hint="eastAsia"/>
          <w:bCs w:val="0"/>
        </w:rPr>
        <w:t>%)</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44.77</w:t>
            </w:r>
          </w:p>
        </w:tc>
        <w:tc>
          <w:tcPr>
            <w:tcW w:w="927"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16.39</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52.29</w:t>
            </w:r>
          </w:p>
        </w:tc>
        <w:tc>
          <w:tcPr>
            <w:tcW w:w="816" w:type="pct"/>
            <w:vAlign w:val="center"/>
          </w:tcPr>
          <w:p w:rsidR="0047381B" w:rsidRPr="00694960" w:rsidRDefault="0047381B" w:rsidP="00613E12">
            <w:pPr>
              <w:pStyle w:val="NoSpacing"/>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9.31</w:t>
            </w:r>
            <w:r w:rsidR="0047381B">
              <w:rPr>
                <w:rFonts w:ascii="Times New Roman" w:hAnsi="Times New Roman" w:hint="eastAsia"/>
                <w:bCs/>
                <w:sz w:val="20"/>
                <w:szCs w:val="20"/>
              </w:rPr>
              <w:t>%</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55.98</w:t>
            </w:r>
          </w:p>
        </w:tc>
        <w:tc>
          <w:tcPr>
            <w:tcW w:w="927"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17.34</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58.82</w:t>
            </w:r>
          </w:p>
        </w:tc>
        <w:tc>
          <w:tcPr>
            <w:tcW w:w="816"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82.48</w:t>
            </w:r>
          </w:p>
        </w:tc>
        <w:tc>
          <w:tcPr>
            <w:tcW w:w="816"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9.74</w:t>
            </w:r>
            <w:r w:rsidR="0047381B">
              <w:rPr>
                <w:rFonts w:ascii="Times New Roman" w:hAnsi="Times New Roman" w:hint="eastAsia"/>
                <w:bCs/>
                <w:sz w:val="20"/>
                <w:szCs w:val="20"/>
              </w:rPr>
              <w:t>%</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22.31</w:t>
            </w:r>
            <w:r w:rsidR="0047381B">
              <w:rPr>
                <w:rFonts w:ascii="Times New Roman" w:hAnsi="Times New Roman" w:hint="eastAsia"/>
                <w:bCs/>
                <w:sz w:val="20"/>
                <w:szCs w:val="20"/>
              </w:rPr>
              <w:t>%</w:t>
            </w:r>
          </w:p>
        </w:tc>
        <w:tc>
          <w:tcPr>
            <w:tcW w:w="927"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5.80</w:t>
            </w:r>
            <w:r w:rsidR="0047381B">
              <w:rPr>
                <w:rFonts w:ascii="Times New Roman" w:hAnsi="Times New Roman" w:hint="eastAsia"/>
                <w:bCs/>
                <w:sz w:val="20"/>
                <w:szCs w:val="20"/>
              </w:rPr>
              <w:t>%</w:t>
            </w:r>
          </w:p>
        </w:tc>
        <w:tc>
          <w:tcPr>
            <w:tcW w:w="814"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12.49</w:t>
            </w:r>
            <w:r w:rsidR="0047381B">
              <w:rPr>
                <w:rFonts w:ascii="Times New Roman" w:hAnsi="Times New Roman" w:hint="eastAsia"/>
                <w:bCs/>
                <w:sz w:val="20"/>
                <w:szCs w:val="20"/>
              </w:rPr>
              <w:t>%</w:t>
            </w:r>
          </w:p>
        </w:tc>
        <w:tc>
          <w:tcPr>
            <w:tcW w:w="816"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46.40</w:t>
            </w:r>
            <w:r w:rsidR="0047381B">
              <w:rPr>
                <w:rFonts w:ascii="Times New Roman" w:hAnsi="Times New Roman" w:hint="eastAsia"/>
                <w:bCs/>
                <w:sz w:val="20"/>
                <w:szCs w:val="20"/>
              </w:rPr>
              <w:t>%</w:t>
            </w:r>
          </w:p>
        </w:tc>
        <w:tc>
          <w:tcPr>
            <w:tcW w:w="816" w:type="pct"/>
            <w:vAlign w:val="center"/>
          </w:tcPr>
          <w:p w:rsidR="0047381B" w:rsidRDefault="0047381B" w:rsidP="00613E12">
            <w:pPr>
              <w:pStyle w:val="NoSpacing"/>
              <w:jc w:val="center"/>
              <w:rPr>
                <w:rFonts w:ascii="Times New Roman" w:hAnsi="Times New Roman"/>
                <w:bCs/>
                <w:sz w:val="20"/>
                <w:szCs w:val="20"/>
              </w:rPr>
            </w:pP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Caption"/>
        <w:keepNext/>
        <w:jc w:val="center"/>
        <w:rPr>
          <w:lang w:eastAsia="zh-CN"/>
        </w:rPr>
      </w:pPr>
      <w:r>
        <w:t xml:space="preserve">Table </w:t>
      </w:r>
      <w:r w:rsidR="00C91E02">
        <w:fldChar w:fldCharType="begin"/>
      </w:r>
      <w:r>
        <w:instrText xml:space="preserve"> SEQ Table \* ARABIC </w:instrText>
      </w:r>
      <w:r w:rsidR="00C91E02">
        <w:fldChar w:fldCharType="separate"/>
      </w:r>
      <w:r>
        <w:rPr>
          <w:noProof/>
        </w:rPr>
        <w:t>2</w:t>
      </w:r>
      <w:r w:rsidR="00C91E02">
        <w:fldChar w:fldCharType="end"/>
      </w:r>
      <w:r>
        <w:rPr>
          <w:rFonts w:hint="eastAsia"/>
          <w:lang w:eastAsia="zh-CN"/>
        </w:rPr>
        <w:t xml:space="preserve"> </w:t>
      </w:r>
      <w:r>
        <w:rPr>
          <w:rFonts w:hint="eastAsia"/>
          <w:bCs w:val="0"/>
        </w:rPr>
        <w:t xml:space="preserve">Simulation </w:t>
      </w:r>
      <w:r>
        <w:rPr>
          <w:bCs w:val="0"/>
        </w:rPr>
        <w:t>Results (</w:t>
      </w:r>
      <w:r>
        <w:rPr>
          <w:rFonts w:hint="eastAsia"/>
          <w:bCs w:val="0"/>
        </w:rPr>
        <w:t>RU ~</w:t>
      </w:r>
      <w:r w:rsidR="00BF697C">
        <w:rPr>
          <w:rFonts w:hint="eastAsia"/>
          <w:bCs w:val="0"/>
          <w:lang w:eastAsia="zh-CN"/>
        </w:rPr>
        <w:t>3</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28.60</w:t>
            </w:r>
          </w:p>
        </w:tc>
        <w:tc>
          <w:tcPr>
            <w:tcW w:w="927"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2.46</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25.97</w:t>
            </w:r>
          </w:p>
        </w:tc>
        <w:tc>
          <w:tcPr>
            <w:tcW w:w="816" w:type="pct"/>
            <w:vAlign w:val="center"/>
          </w:tcPr>
          <w:p w:rsidR="0047381B" w:rsidRPr="00694960" w:rsidRDefault="0047381B" w:rsidP="00613E12">
            <w:pPr>
              <w:pStyle w:val="NoSpacing"/>
              <w:jc w:val="center"/>
              <w:rPr>
                <w:rFonts w:ascii="Times New Roman" w:hAnsi="Times New Roman"/>
                <w:bCs/>
                <w:sz w:val="20"/>
                <w:szCs w:val="20"/>
              </w:rPr>
            </w:pPr>
            <w:r>
              <w:rPr>
                <w:rFonts w:ascii="Times New Roman" w:hAnsi="Times New Roman" w:hint="eastAsia"/>
                <w:bCs/>
                <w:sz w:val="20"/>
                <w:szCs w:val="20"/>
              </w:rPr>
              <w:t>56.34</w:t>
            </w:r>
          </w:p>
        </w:tc>
        <w:tc>
          <w:tcPr>
            <w:tcW w:w="816" w:type="pct"/>
            <w:vAlign w:val="center"/>
          </w:tcPr>
          <w:p w:rsidR="0047381B" w:rsidRDefault="00BF697C" w:rsidP="00BF697C">
            <w:pPr>
              <w:pStyle w:val="NoSpacing"/>
              <w:jc w:val="center"/>
              <w:rPr>
                <w:rFonts w:ascii="Times New Roman" w:hAnsi="Times New Roman"/>
                <w:bCs/>
                <w:sz w:val="20"/>
                <w:szCs w:val="20"/>
              </w:rPr>
            </w:pPr>
            <w:r>
              <w:rPr>
                <w:rFonts w:ascii="Times New Roman" w:hAnsi="Times New Roman" w:hint="eastAsia"/>
                <w:bCs/>
                <w:sz w:val="20"/>
                <w:szCs w:val="20"/>
              </w:rPr>
              <w:t>34</w:t>
            </w:r>
            <w:r w:rsidR="0047381B">
              <w:rPr>
                <w:rFonts w:ascii="Times New Roman" w:hAnsi="Times New Roman" w:hint="eastAsia"/>
                <w:bCs/>
                <w:sz w:val="20"/>
                <w:szCs w:val="20"/>
              </w:rPr>
              <w:t>.</w:t>
            </w:r>
            <w:r>
              <w:rPr>
                <w:rFonts w:ascii="Times New Roman" w:hAnsi="Times New Roman" w:hint="eastAsia"/>
                <w:bCs/>
                <w:sz w:val="20"/>
                <w:szCs w:val="20"/>
              </w:rPr>
              <w:t>02</w:t>
            </w:r>
            <w:r w:rsidR="0047381B">
              <w:rPr>
                <w:rFonts w:ascii="Times New Roman" w:hAnsi="Times New Roman" w:hint="eastAsia"/>
                <w:bCs/>
                <w:sz w:val="20"/>
                <w:szCs w:val="20"/>
              </w:rPr>
              <w:t>%</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35.67</w:t>
            </w:r>
          </w:p>
        </w:tc>
        <w:tc>
          <w:tcPr>
            <w:tcW w:w="927"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3.20</w:t>
            </w:r>
          </w:p>
        </w:tc>
        <w:tc>
          <w:tcPr>
            <w:tcW w:w="814"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31.01</w:t>
            </w:r>
          </w:p>
        </w:tc>
        <w:tc>
          <w:tcPr>
            <w:tcW w:w="816" w:type="pct"/>
            <w:vAlign w:val="center"/>
          </w:tcPr>
          <w:p w:rsidR="0047381B"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75.47</w:t>
            </w:r>
          </w:p>
        </w:tc>
        <w:tc>
          <w:tcPr>
            <w:tcW w:w="816"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28.20</w:t>
            </w:r>
            <w:r w:rsidR="0047381B">
              <w:rPr>
                <w:rFonts w:ascii="Times New Roman" w:hAnsi="Times New Roman" w:hint="eastAsia"/>
                <w:bCs/>
                <w:sz w:val="20"/>
                <w:szCs w:val="20"/>
              </w:rPr>
              <w:t>%</w:t>
            </w:r>
          </w:p>
        </w:tc>
      </w:tr>
      <w:tr w:rsidR="0047381B" w:rsidTr="00613E12">
        <w:trPr>
          <w:trHeight w:val="410"/>
          <w:jc w:val="center"/>
        </w:trPr>
        <w:tc>
          <w:tcPr>
            <w:tcW w:w="813" w:type="pct"/>
            <w:vAlign w:val="center"/>
          </w:tcPr>
          <w:p w:rsidR="0047381B" w:rsidRPr="00694960" w:rsidRDefault="0047381B" w:rsidP="00613E12">
            <w:pPr>
              <w:pStyle w:val="NoSpacing"/>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47381B" w:rsidRDefault="0047381B" w:rsidP="00BF697C">
            <w:pPr>
              <w:pStyle w:val="NoSpacing"/>
              <w:jc w:val="center"/>
              <w:rPr>
                <w:rFonts w:ascii="Times New Roman" w:hAnsi="Times New Roman"/>
                <w:bCs/>
                <w:sz w:val="20"/>
                <w:szCs w:val="20"/>
              </w:rPr>
            </w:pPr>
            <w:r>
              <w:rPr>
                <w:rFonts w:ascii="Times New Roman" w:hAnsi="Times New Roman" w:hint="eastAsia"/>
                <w:bCs/>
                <w:sz w:val="20"/>
                <w:szCs w:val="20"/>
              </w:rPr>
              <w:t>2</w:t>
            </w:r>
            <w:r w:rsidR="00BF697C">
              <w:rPr>
                <w:rFonts w:ascii="Times New Roman" w:hAnsi="Times New Roman" w:hint="eastAsia"/>
                <w:bCs/>
                <w:sz w:val="20"/>
                <w:szCs w:val="20"/>
              </w:rPr>
              <w:t>4.72</w:t>
            </w:r>
            <w:r>
              <w:rPr>
                <w:rFonts w:ascii="Times New Roman" w:hAnsi="Times New Roman" w:hint="eastAsia"/>
                <w:bCs/>
                <w:sz w:val="20"/>
                <w:szCs w:val="20"/>
              </w:rPr>
              <w:t>%</w:t>
            </w:r>
          </w:p>
        </w:tc>
        <w:tc>
          <w:tcPr>
            <w:tcW w:w="927"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30.08</w:t>
            </w:r>
            <w:r w:rsidR="0047381B">
              <w:rPr>
                <w:rFonts w:ascii="Times New Roman" w:hAnsi="Times New Roman" w:hint="eastAsia"/>
                <w:bCs/>
                <w:sz w:val="20"/>
                <w:szCs w:val="20"/>
              </w:rPr>
              <w:t>%</w:t>
            </w:r>
          </w:p>
        </w:tc>
        <w:tc>
          <w:tcPr>
            <w:tcW w:w="814"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19.41</w:t>
            </w:r>
            <w:r w:rsidR="0047381B">
              <w:rPr>
                <w:rFonts w:ascii="Times New Roman" w:hAnsi="Times New Roman" w:hint="eastAsia"/>
                <w:bCs/>
                <w:sz w:val="20"/>
                <w:szCs w:val="20"/>
              </w:rPr>
              <w:t>%</w:t>
            </w:r>
          </w:p>
        </w:tc>
        <w:tc>
          <w:tcPr>
            <w:tcW w:w="816" w:type="pct"/>
            <w:vAlign w:val="center"/>
          </w:tcPr>
          <w:p w:rsidR="0047381B"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33.95</w:t>
            </w:r>
            <w:r w:rsidR="0047381B">
              <w:rPr>
                <w:rFonts w:ascii="Times New Roman" w:hAnsi="Times New Roman" w:hint="eastAsia"/>
                <w:bCs/>
                <w:sz w:val="20"/>
                <w:szCs w:val="20"/>
              </w:rPr>
              <w:t>%</w:t>
            </w:r>
          </w:p>
        </w:tc>
        <w:tc>
          <w:tcPr>
            <w:tcW w:w="816" w:type="pct"/>
            <w:vAlign w:val="center"/>
          </w:tcPr>
          <w:p w:rsidR="0047381B" w:rsidRDefault="0047381B" w:rsidP="0005406A">
            <w:pPr>
              <w:pStyle w:val="NoSpacing"/>
              <w:jc w:val="center"/>
              <w:rPr>
                <w:rFonts w:ascii="Times New Roman" w:hAnsi="Times New Roman"/>
                <w:bCs/>
                <w:sz w:val="20"/>
                <w:szCs w:val="20"/>
              </w:rPr>
            </w:pPr>
          </w:p>
        </w:tc>
      </w:tr>
    </w:tbl>
    <w:p w:rsidR="0047381B" w:rsidRDefault="0047381B" w:rsidP="0047381B">
      <w:pPr>
        <w:spacing w:after="0" w:line="240" w:lineRule="auto"/>
        <w:jc w:val="both"/>
        <w:rPr>
          <w:rFonts w:ascii="Times New Roman" w:hAnsi="Times New Roman"/>
          <w:sz w:val="20"/>
          <w:szCs w:val="20"/>
        </w:rPr>
      </w:pPr>
    </w:p>
    <w:p w:rsidR="0047381B" w:rsidRDefault="0047381B" w:rsidP="0047381B">
      <w:pPr>
        <w:pStyle w:val="Caption"/>
        <w:keepNext/>
        <w:jc w:val="center"/>
        <w:rPr>
          <w:lang w:eastAsia="zh-CN"/>
        </w:rPr>
      </w:pPr>
      <w:r>
        <w:t xml:space="preserve">Table </w:t>
      </w:r>
      <w:r>
        <w:rPr>
          <w:rFonts w:hint="eastAsia"/>
          <w:lang w:eastAsia="zh-CN"/>
        </w:rPr>
        <w:t xml:space="preserve">3 </w:t>
      </w:r>
      <w:r>
        <w:rPr>
          <w:rFonts w:hint="eastAsia"/>
          <w:bCs w:val="0"/>
        </w:rPr>
        <w:t xml:space="preserve">Simulation </w:t>
      </w:r>
      <w:r>
        <w:rPr>
          <w:bCs w:val="0"/>
        </w:rPr>
        <w:t>Results (</w:t>
      </w:r>
      <w:r>
        <w:rPr>
          <w:rFonts w:hint="eastAsia"/>
          <w:bCs w:val="0"/>
        </w:rPr>
        <w:t>RU ~</w:t>
      </w:r>
      <w:r w:rsidR="00BF697C">
        <w:rPr>
          <w:rFonts w:hint="eastAsia"/>
          <w:bCs w:val="0"/>
          <w:lang w:eastAsia="zh-CN"/>
        </w:rPr>
        <w:t>7</w:t>
      </w:r>
      <w:r>
        <w:rPr>
          <w:rFonts w:hint="eastAsia"/>
          <w:bCs w:val="0"/>
        </w:rPr>
        <w:t>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47381B" w:rsidTr="00613E12">
        <w:trPr>
          <w:trHeight w:val="410"/>
          <w:jc w:val="center"/>
        </w:trPr>
        <w:tc>
          <w:tcPr>
            <w:tcW w:w="813"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 xml:space="preserve">TP </w:t>
            </w:r>
            <w:r w:rsidRPr="00694960">
              <w:rPr>
                <w:rFonts w:ascii="Times New Roman" w:hAnsi="Times New Roman" w:hint="eastAsia"/>
                <w:bCs/>
                <w:sz w:val="20"/>
                <w:szCs w:val="20"/>
              </w:rPr>
              <w:t>coordination</w:t>
            </w:r>
            <w:r>
              <w:rPr>
                <w:rFonts w:ascii="Times New Roman" w:hAnsi="Times New Roman" w:hint="eastAsia"/>
                <w:bCs/>
                <w:sz w:val="20"/>
                <w:szCs w:val="20"/>
              </w:rPr>
              <w:t xml:space="preserve"> scheme</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Mean UPT</w:t>
            </w:r>
          </w:p>
        </w:tc>
        <w:tc>
          <w:tcPr>
            <w:tcW w:w="927"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 UPT</w:t>
            </w:r>
          </w:p>
        </w:tc>
        <w:tc>
          <w:tcPr>
            <w:tcW w:w="814"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50% UPT</w:t>
            </w:r>
          </w:p>
        </w:tc>
        <w:tc>
          <w:tcPr>
            <w:tcW w:w="816" w:type="pct"/>
            <w:shd w:val="clear" w:color="auto" w:fill="DBE5F1"/>
            <w:vAlign w:val="center"/>
          </w:tcPr>
          <w:p w:rsidR="0047381B" w:rsidRPr="00694960" w:rsidRDefault="0047381B" w:rsidP="00613E12">
            <w:pPr>
              <w:jc w:val="center"/>
              <w:rPr>
                <w:rFonts w:ascii="Times New Roman" w:hAnsi="Times New Roman"/>
                <w:bCs/>
                <w:sz w:val="20"/>
                <w:szCs w:val="20"/>
              </w:rPr>
            </w:pPr>
            <w:r>
              <w:rPr>
                <w:rFonts w:ascii="Times New Roman" w:hAnsi="Times New Roman" w:hint="eastAsia"/>
                <w:bCs/>
                <w:sz w:val="20"/>
                <w:szCs w:val="20"/>
              </w:rPr>
              <w:t>95% UPT</w:t>
            </w:r>
          </w:p>
        </w:tc>
        <w:tc>
          <w:tcPr>
            <w:tcW w:w="816" w:type="pct"/>
            <w:shd w:val="clear" w:color="auto" w:fill="DBE5F1"/>
            <w:vAlign w:val="center"/>
          </w:tcPr>
          <w:p w:rsidR="0047381B" w:rsidRDefault="0047381B" w:rsidP="00613E12">
            <w:pPr>
              <w:jc w:val="center"/>
              <w:rPr>
                <w:rFonts w:ascii="Times New Roman" w:hAnsi="Times New Roman"/>
                <w:bCs/>
                <w:sz w:val="20"/>
                <w:szCs w:val="20"/>
              </w:rPr>
            </w:pPr>
            <w:r>
              <w:rPr>
                <w:rFonts w:ascii="Times New Roman" w:hAnsi="Times New Roman" w:hint="eastAsia"/>
                <w:bCs/>
                <w:sz w:val="20"/>
                <w:szCs w:val="20"/>
              </w:rPr>
              <w:t>RU</w:t>
            </w:r>
          </w:p>
        </w:tc>
        <w:bookmarkStart w:id="4" w:name="_GoBack"/>
        <w:bookmarkEnd w:id="4"/>
      </w:tr>
      <w:tr w:rsidR="00BF697C" w:rsidTr="00613E12">
        <w:trPr>
          <w:trHeight w:val="410"/>
          <w:jc w:val="center"/>
        </w:trPr>
        <w:tc>
          <w:tcPr>
            <w:tcW w:w="813" w:type="pct"/>
            <w:vAlign w:val="center"/>
          </w:tcPr>
          <w:p w:rsidR="00BF697C" w:rsidRPr="00694960" w:rsidRDefault="00BF697C"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DPS/DPB</w:t>
            </w:r>
          </w:p>
        </w:tc>
        <w:tc>
          <w:tcPr>
            <w:tcW w:w="814" w:type="pct"/>
            <w:vAlign w:val="center"/>
          </w:tcPr>
          <w:p w:rsidR="00BF697C"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10.60</w:t>
            </w:r>
          </w:p>
        </w:tc>
        <w:tc>
          <w:tcPr>
            <w:tcW w:w="927"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0.66</w:t>
            </w:r>
          </w:p>
        </w:tc>
        <w:tc>
          <w:tcPr>
            <w:tcW w:w="814"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4.15</w:t>
            </w:r>
          </w:p>
        </w:tc>
        <w:tc>
          <w:tcPr>
            <w:tcW w:w="816"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48.78</w:t>
            </w:r>
          </w:p>
        </w:tc>
        <w:tc>
          <w:tcPr>
            <w:tcW w:w="816"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77.71%</w:t>
            </w:r>
          </w:p>
        </w:tc>
      </w:tr>
      <w:tr w:rsidR="00BF697C" w:rsidTr="00613E12">
        <w:trPr>
          <w:trHeight w:val="410"/>
          <w:jc w:val="center"/>
        </w:trPr>
        <w:tc>
          <w:tcPr>
            <w:tcW w:w="813" w:type="pct"/>
            <w:vAlign w:val="center"/>
          </w:tcPr>
          <w:p w:rsidR="00BF697C" w:rsidRPr="00694960" w:rsidRDefault="00BF697C" w:rsidP="00613E12">
            <w:pPr>
              <w:pStyle w:val="NoSpacing"/>
              <w:jc w:val="center"/>
              <w:rPr>
                <w:rFonts w:ascii="Times New Roman" w:hAnsi="Times New Roman"/>
                <w:bCs/>
                <w:sz w:val="20"/>
                <w:szCs w:val="20"/>
              </w:rPr>
            </w:pPr>
            <w:r w:rsidRPr="00694960">
              <w:rPr>
                <w:rFonts w:ascii="Times New Roman" w:hAnsi="Times New Roman" w:hint="eastAsia"/>
                <w:bCs/>
                <w:sz w:val="20"/>
                <w:szCs w:val="20"/>
              </w:rPr>
              <w:t>NCJT</w:t>
            </w:r>
          </w:p>
        </w:tc>
        <w:tc>
          <w:tcPr>
            <w:tcW w:w="814" w:type="pct"/>
            <w:vAlign w:val="center"/>
          </w:tcPr>
          <w:p w:rsidR="00BF697C"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11.32</w:t>
            </w:r>
          </w:p>
        </w:tc>
        <w:tc>
          <w:tcPr>
            <w:tcW w:w="927"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0.73</w:t>
            </w:r>
          </w:p>
        </w:tc>
        <w:tc>
          <w:tcPr>
            <w:tcW w:w="814"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4.18</w:t>
            </w:r>
          </w:p>
        </w:tc>
        <w:tc>
          <w:tcPr>
            <w:tcW w:w="816" w:type="pct"/>
            <w:vAlign w:val="center"/>
          </w:tcPr>
          <w:p w:rsidR="00BF697C" w:rsidRPr="00694960"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54.05</w:t>
            </w:r>
          </w:p>
        </w:tc>
        <w:tc>
          <w:tcPr>
            <w:tcW w:w="816"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77.63%</w:t>
            </w:r>
          </w:p>
        </w:tc>
      </w:tr>
      <w:tr w:rsidR="00BF697C" w:rsidTr="00613E12">
        <w:trPr>
          <w:trHeight w:val="410"/>
          <w:jc w:val="center"/>
        </w:trPr>
        <w:tc>
          <w:tcPr>
            <w:tcW w:w="813" w:type="pct"/>
            <w:vAlign w:val="center"/>
          </w:tcPr>
          <w:p w:rsidR="00BF697C" w:rsidRPr="00694960" w:rsidRDefault="00BF697C" w:rsidP="00613E12">
            <w:pPr>
              <w:pStyle w:val="NoSpacing"/>
              <w:jc w:val="center"/>
              <w:rPr>
                <w:rFonts w:ascii="Times New Roman" w:hAnsi="Times New Roman"/>
                <w:bCs/>
                <w:sz w:val="20"/>
                <w:szCs w:val="20"/>
              </w:rPr>
            </w:pPr>
            <w:r>
              <w:rPr>
                <w:rFonts w:ascii="Times New Roman" w:hAnsi="Times New Roman" w:hint="eastAsia"/>
                <w:bCs/>
                <w:sz w:val="20"/>
                <w:szCs w:val="20"/>
              </w:rPr>
              <w:t>Gain</w:t>
            </w:r>
          </w:p>
        </w:tc>
        <w:tc>
          <w:tcPr>
            <w:tcW w:w="814"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6.98%</w:t>
            </w:r>
          </w:p>
        </w:tc>
        <w:tc>
          <w:tcPr>
            <w:tcW w:w="927"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10.61%</w:t>
            </w:r>
          </w:p>
        </w:tc>
        <w:tc>
          <w:tcPr>
            <w:tcW w:w="814"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0.72%</w:t>
            </w:r>
          </w:p>
        </w:tc>
        <w:tc>
          <w:tcPr>
            <w:tcW w:w="816" w:type="pct"/>
            <w:vAlign w:val="center"/>
          </w:tcPr>
          <w:p w:rsidR="00BF697C" w:rsidRDefault="00BF697C" w:rsidP="00AD289E">
            <w:pPr>
              <w:pStyle w:val="NoSpacing"/>
              <w:jc w:val="center"/>
              <w:rPr>
                <w:rFonts w:ascii="Times New Roman" w:hAnsi="Times New Roman"/>
                <w:bCs/>
                <w:sz w:val="20"/>
                <w:szCs w:val="20"/>
              </w:rPr>
            </w:pPr>
            <w:r>
              <w:rPr>
                <w:rFonts w:ascii="Times New Roman" w:hAnsi="Times New Roman" w:hint="eastAsia"/>
                <w:bCs/>
                <w:sz w:val="20"/>
                <w:szCs w:val="20"/>
              </w:rPr>
              <w:t>10.80%</w:t>
            </w:r>
          </w:p>
        </w:tc>
        <w:tc>
          <w:tcPr>
            <w:tcW w:w="816" w:type="pct"/>
            <w:vAlign w:val="center"/>
          </w:tcPr>
          <w:p w:rsidR="00BF697C" w:rsidRDefault="00BF697C" w:rsidP="00AD289E">
            <w:pPr>
              <w:pStyle w:val="NoSpacing"/>
              <w:jc w:val="center"/>
              <w:rPr>
                <w:rFonts w:ascii="Times New Roman" w:hAnsi="Times New Roman"/>
                <w:bCs/>
                <w:sz w:val="20"/>
                <w:szCs w:val="20"/>
              </w:rPr>
            </w:pPr>
          </w:p>
        </w:tc>
      </w:tr>
    </w:tbl>
    <w:p w:rsidR="0047381B" w:rsidRDefault="0047381B" w:rsidP="0047381B">
      <w:pPr>
        <w:spacing w:after="0" w:line="240" w:lineRule="auto"/>
        <w:jc w:val="both"/>
        <w:rPr>
          <w:rFonts w:ascii="Times New Roman" w:hAnsi="Times New Roman"/>
          <w:sz w:val="20"/>
          <w:szCs w:val="20"/>
        </w:rPr>
      </w:pPr>
    </w:p>
    <w:p w:rsidR="00DE7F95" w:rsidRPr="003D22C7" w:rsidRDefault="003D22C7" w:rsidP="00BF697C">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High potential gain can be observed from initial evaluation results of non-coherent JT.   </w:t>
      </w:r>
      <w:r w:rsidRPr="00DE7F95">
        <w:rPr>
          <w:rFonts w:ascii="Times New Roman" w:hAnsi="Times New Roman"/>
        </w:rPr>
        <w:t xml:space="preserve">  </w:t>
      </w:r>
    </w:p>
    <w:p w:rsidR="007E5079" w:rsidRDefault="0023314C" w:rsidP="00BF697C">
      <w:pPr>
        <w:pStyle w:val="Heading1"/>
        <w:spacing w:beforeLines="50" w:before="180" w:line="360" w:lineRule="auto"/>
        <w:ind w:left="431" w:hanging="431"/>
        <w:rPr>
          <w:sz w:val="32"/>
          <w:lang w:val="en-US"/>
        </w:rPr>
      </w:pPr>
      <w:r w:rsidRPr="001C3AC5">
        <w:rPr>
          <w:sz w:val="32"/>
          <w:lang w:val="en-US"/>
        </w:rPr>
        <w:t>Conclusions</w:t>
      </w:r>
    </w:p>
    <w:p w:rsidR="00B97185" w:rsidRPr="00B97185" w:rsidRDefault="00B97185" w:rsidP="00BF697C">
      <w:pPr>
        <w:snapToGrid w:val="0"/>
        <w:spacing w:afterLines="50" w:after="180"/>
        <w:jc w:val="both"/>
        <w:rPr>
          <w:rFonts w:ascii="Times New Roman" w:hAnsi="Times New Roman"/>
          <w:lang w:val="en-GB"/>
        </w:rPr>
      </w:pPr>
      <w:bookmarkStart w:id="5" w:name="OLE_LINK10"/>
      <w:bookmarkStart w:id="6" w:name="OLE_LINK11"/>
      <w:r>
        <w:rPr>
          <w:rFonts w:ascii="Times New Roman" w:hAnsi="Times New Roman" w:hint="eastAsia"/>
          <w:lang w:val="en-GB"/>
        </w:rPr>
        <w:t>This contribution provides initial evaluation results on multi-TRP transmission</w:t>
      </w:r>
      <w:r>
        <w:rPr>
          <w:rFonts w:ascii="Times New Roman" w:hAnsi="Times New Roman"/>
          <w:lang w:val="en-GB"/>
        </w:rPr>
        <w:t xml:space="preserve"> using non-coherent JT</w:t>
      </w:r>
      <w:r>
        <w:rPr>
          <w:rFonts w:ascii="Times New Roman" w:hAnsi="Times New Roman" w:hint="eastAsia"/>
          <w:lang w:val="en-GB"/>
        </w:rPr>
        <w:t xml:space="preserve">. </w:t>
      </w:r>
      <w:r w:rsidRPr="00B97185">
        <w:rPr>
          <w:rFonts w:ascii="Times New Roman" w:hAnsi="Times New Roman"/>
          <w:lang w:val="en-GB"/>
        </w:rPr>
        <w:t xml:space="preserve"> </w:t>
      </w:r>
      <w:r w:rsidRPr="00B97185">
        <w:rPr>
          <w:rFonts w:ascii="Times New Roman" w:hAnsi="Times New Roman"/>
          <w:sz w:val="20"/>
          <w:szCs w:val="20"/>
          <w:lang w:val="en-GB"/>
        </w:rPr>
        <w:t xml:space="preserve">High potential gain can be observed from initial evaluation results of non-coherent JT.  </w:t>
      </w:r>
      <w:r w:rsidR="00F9245A">
        <w:rPr>
          <w:rFonts w:ascii="Times New Roman" w:hAnsi="Times New Roman"/>
          <w:sz w:val="20"/>
          <w:szCs w:val="20"/>
          <w:lang w:val="en-GB"/>
        </w:rPr>
        <w:t>It appears to have</w:t>
      </w:r>
      <w:r>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Pr>
          <w:rFonts w:ascii="Times New Roman" w:hAnsi="Times New Roman"/>
          <w:sz w:val="20"/>
          <w:szCs w:val="20"/>
          <w:lang w:val="en-GB"/>
        </w:rPr>
        <w:t>benef</w:t>
      </w:r>
      <w:r w:rsidR="00F9245A">
        <w:rPr>
          <w:rFonts w:ascii="Times New Roman" w:hAnsi="Times New Roman"/>
          <w:sz w:val="20"/>
          <w:szCs w:val="20"/>
          <w:lang w:val="en-GB"/>
        </w:rPr>
        <w:t>it</w:t>
      </w:r>
      <w:r>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Pr>
          <w:rFonts w:ascii="Times New Roman" w:hAnsi="Times New Roman"/>
          <w:sz w:val="20"/>
          <w:szCs w:val="20"/>
          <w:lang w:val="en-GB"/>
        </w:rPr>
        <w:t>, we have the following proposals.</w:t>
      </w:r>
    </w:p>
    <w:p w:rsidR="00B97185" w:rsidRPr="00800A5D" w:rsidRDefault="00B97185" w:rsidP="00BF697C">
      <w:pPr>
        <w:snapToGrid w:val="0"/>
        <w:spacing w:afterLines="50" w:after="180"/>
        <w:rPr>
          <w:rFonts w:ascii="Times New Roman" w:hAnsi="Times New Roman"/>
          <w:sz w:val="20"/>
          <w:szCs w:val="20"/>
        </w:rPr>
      </w:pPr>
      <w:r w:rsidRPr="00800A5D">
        <w:rPr>
          <w:rFonts w:ascii="Times New Roman" w:hAnsi="Times New Roman"/>
          <w:b/>
          <w:i/>
          <w:sz w:val="20"/>
          <w:szCs w:val="20"/>
          <w:lang w:val="en-GB"/>
        </w:rPr>
        <w:lastRenderedPageBreak/>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B97185" w:rsidRPr="00B93473" w:rsidRDefault="00B97185" w:rsidP="00BF697C">
      <w:pPr>
        <w:snapToGrid w:val="0"/>
        <w:spacing w:afterLines="50" w:after="18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B550F4" w:rsidRPr="00B97185" w:rsidRDefault="00B550F4" w:rsidP="00BF697C">
      <w:pPr>
        <w:spacing w:afterLines="50" w:after="180" w:line="240" w:lineRule="auto"/>
        <w:jc w:val="both"/>
        <w:rPr>
          <w:rFonts w:ascii="Times New Roman" w:hAnsi="Times New Roman"/>
          <w:b/>
          <w:i/>
          <w:sz w:val="20"/>
          <w:szCs w:val="20"/>
        </w:rPr>
      </w:pPr>
    </w:p>
    <w:p w:rsidR="007E5079" w:rsidRDefault="0023314C" w:rsidP="00BF697C">
      <w:pPr>
        <w:pStyle w:val="Heading1"/>
        <w:numPr>
          <w:ilvl w:val="0"/>
          <w:numId w:val="0"/>
        </w:numPr>
        <w:spacing w:beforeLines="100" w:before="360"/>
        <w:ind w:left="431" w:hanging="431"/>
        <w:rPr>
          <w:sz w:val="32"/>
          <w:szCs w:val="32"/>
          <w:lang w:val="en-US"/>
        </w:rPr>
      </w:pPr>
      <w:r w:rsidRPr="00D14741">
        <w:rPr>
          <w:sz w:val="32"/>
          <w:szCs w:val="32"/>
          <w:lang w:val="en-US"/>
        </w:rPr>
        <w:t>References</w:t>
      </w:r>
    </w:p>
    <w:p w:rsidR="00A833F1" w:rsidRDefault="00A833F1" w:rsidP="00A833F1">
      <w:pPr>
        <w:numPr>
          <w:ilvl w:val="0"/>
          <w:numId w:val="2"/>
        </w:numPr>
        <w:spacing w:after="0"/>
        <w:jc w:val="both"/>
        <w:rPr>
          <w:rFonts w:ascii="Times New Roman" w:hAnsi="Times New Roman"/>
          <w:sz w:val="20"/>
          <w:szCs w:val="20"/>
        </w:rPr>
      </w:pPr>
      <w:bookmarkStart w:id="7" w:name="_Ref465158873"/>
      <w:bookmarkStart w:id="8" w:name="_Ref446402934"/>
      <w:bookmarkEnd w:id="5"/>
      <w:bookmarkEnd w:id="6"/>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7"/>
    </w:p>
    <w:p w:rsidR="005319C4" w:rsidRDefault="005319C4" w:rsidP="005319C4">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p>
    <w:p w:rsidR="00A833F1" w:rsidRDefault="00794411" w:rsidP="005319C4">
      <w:pPr>
        <w:spacing w:after="0"/>
        <w:jc w:val="both"/>
        <w:rPr>
          <w:rFonts w:ascii="Times New Roman" w:eastAsia="MS Mincho" w:hAnsi="Times New Roman"/>
          <w:sz w:val="20"/>
          <w:szCs w:val="20"/>
          <w:lang w:eastAsia="ja-JP"/>
        </w:rPr>
      </w:pPr>
      <w:r w:rsidRPr="00794411">
        <w:rPr>
          <w:rFonts w:ascii="Times New Roman" w:hAnsi="Times New Roman"/>
          <w:sz w:val="20"/>
          <w:szCs w:val="20"/>
        </w:rPr>
        <w:t xml:space="preserve">[3] </w:t>
      </w:r>
      <w:r w:rsidR="00AA0B7F">
        <w:rPr>
          <w:rFonts w:ascii="Times New Roman" w:hAnsi="Times New Roman"/>
          <w:sz w:val="20"/>
          <w:szCs w:val="20"/>
        </w:rPr>
        <w:t xml:space="preserve"> </w:t>
      </w:r>
      <w:r w:rsidR="006C44CF">
        <w:rPr>
          <w:rFonts w:ascii="Times New Roman" w:hAnsi="Times New Roman"/>
          <w:sz w:val="20"/>
          <w:szCs w:val="20"/>
        </w:rPr>
        <w:t xml:space="preserve">R1-1610848, </w:t>
      </w:r>
      <w:r w:rsidRPr="00794411">
        <w:rPr>
          <w:rFonts w:ascii="Times New Roman" w:eastAsia="MS Mincho" w:hAnsi="Times New Roman"/>
          <w:sz w:val="20"/>
          <w:szCs w:val="20"/>
          <w:lang w:eastAsia="ja-JP"/>
        </w:rPr>
        <w:t>TR 38.802 v0.3.0 Study on New Radio (NR) Access Technology - Physical Layer Aspects</w:t>
      </w:r>
      <w:r w:rsidR="003B4D34">
        <w:rPr>
          <w:rFonts w:ascii="Times New Roman" w:eastAsia="MS Mincho" w:hAnsi="Times New Roman"/>
          <w:sz w:val="20"/>
          <w:szCs w:val="20"/>
          <w:lang w:eastAsia="ja-JP"/>
        </w:rPr>
        <w:t>, NTT DOCOMO</w:t>
      </w:r>
    </w:p>
    <w:p w:rsidR="003B4D34" w:rsidRDefault="003B4D34" w:rsidP="005319C4">
      <w:pPr>
        <w:spacing w:after="0"/>
        <w:jc w:val="both"/>
        <w:rPr>
          <w:rFonts w:ascii="Times New Roman" w:eastAsia="MS Mincho" w:hAnsi="Times New Roman"/>
          <w:sz w:val="20"/>
          <w:szCs w:val="20"/>
          <w:lang w:eastAsia="ja-JP"/>
        </w:rPr>
      </w:pPr>
      <w:r>
        <w:rPr>
          <w:rFonts w:ascii="Times New Roman" w:eastAsia="MS Mincho" w:hAnsi="Times New Roman"/>
          <w:sz w:val="20"/>
          <w:szCs w:val="20"/>
          <w:lang w:eastAsia="ja-JP"/>
        </w:rPr>
        <w:t xml:space="preserve">[4] </w:t>
      </w:r>
      <w:r w:rsidR="00AA0B7F">
        <w:rPr>
          <w:rFonts w:ascii="Times New Roman" w:eastAsia="MS Mincho" w:hAnsi="Times New Roman"/>
          <w:sz w:val="20"/>
          <w:szCs w:val="20"/>
          <w:lang w:eastAsia="ja-JP"/>
        </w:rPr>
        <w:t xml:space="preserve"> </w:t>
      </w:r>
      <w:r w:rsidRPr="003B4D34">
        <w:rPr>
          <w:rFonts w:ascii="Times New Roman" w:eastAsia="MS Mincho" w:hAnsi="Times New Roman"/>
          <w:sz w:val="20"/>
          <w:szCs w:val="20"/>
          <w:lang w:eastAsia="ja-JP"/>
        </w:rPr>
        <w:t>3GPP TR 36.819, “Coordinated multi-point operation for LTE physical layer aspects (Release 11)”</w:t>
      </w:r>
      <w:r w:rsidR="00AA0B7F">
        <w:rPr>
          <w:rFonts w:ascii="Times New Roman" w:eastAsia="MS Mincho" w:hAnsi="Times New Roman"/>
          <w:sz w:val="20"/>
          <w:szCs w:val="20"/>
          <w:lang w:eastAsia="ja-JP"/>
        </w:rPr>
        <w:t>.</w:t>
      </w:r>
    </w:p>
    <w:p w:rsidR="00AA0B7F" w:rsidRPr="003B4D34" w:rsidRDefault="00AA0B7F" w:rsidP="005319C4">
      <w:pPr>
        <w:spacing w:after="0"/>
        <w:jc w:val="both"/>
        <w:rPr>
          <w:rFonts w:ascii="Times New Roman" w:hAnsi="Times New Roman"/>
          <w:sz w:val="20"/>
          <w:szCs w:val="20"/>
        </w:rPr>
      </w:pPr>
      <w:r w:rsidRPr="00AA0B7F">
        <w:rPr>
          <w:rFonts w:ascii="Times New Roman" w:hAnsi="Times New Roman"/>
          <w:sz w:val="20"/>
          <w:szCs w:val="20"/>
        </w:rPr>
        <w:t xml:space="preserve">[5] </w:t>
      </w:r>
      <w:r>
        <w:rPr>
          <w:rFonts w:ascii="Times New Roman" w:hAnsi="Times New Roman"/>
          <w:sz w:val="20"/>
          <w:szCs w:val="20"/>
        </w:rPr>
        <w:t xml:space="preserve"> </w:t>
      </w:r>
      <w:r w:rsidR="006C44CF">
        <w:rPr>
          <w:rFonts w:ascii="Times New Roman" w:hAnsi="Times New Roman"/>
          <w:sz w:val="20"/>
          <w:szCs w:val="20"/>
        </w:rPr>
        <w:t xml:space="preserve">R1-1610299, </w:t>
      </w:r>
      <w:r w:rsidRPr="00AA0B7F">
        <w:rPr>
          <w:rFonts w:ascii="Times New Roman" w:hAnsi="Times New Roman"/>
          <w:sz w:val="20"/>
          <w:szCs w:val="20"/>
        </w:rPr>
        <w:t>TR 36.741, Study on FeCoMP , ZTE</w:t>
      </w:r>
      <w:r w:rsidR="006C44CF">
        <w:rPr>
          <w:rFonts w:ascii="Times New Roman" w:hAnsi="Times New Roman"/>
          <w:sz w:val="20"/>
          <w:szCs w:val="20"/>
        </w:rPr>
        <w:t xml:space="preserve">, </w:t>
      </w:r>
      <w:r w:rsidR="006C44CF" w:rsidRPr="00AA0B7F">
        <w:rPr>
          <w:rFonts w:ascii="Times New Roman" w:hAnsi="Times New Roman"/>
          <w:sz w:val="20"/>
          <w:szCs w:val="20"/>
        </w:rPr>
        <w:t>ZTE Microelectronics</w:t>
      </w:r>
    </w:p>
    <w:bookmarkEnd w:id="8"/>
    <w:p w:rsidR="00AA0B7F" w:rsidRDefault="00AA0B7F" w:rsidP="008C7B55">
      <w:pPr>
        <w:spacing w:after="0"/>
        <w:jc w:val="both"/>
        <w:rPr>
          <w:rFonts w:ascii="Times New Roman" w:hAnsi="Times New Roman"/>
          <w:sz w:val="20"/>
          <w:szCs w:val="20"/>
        </w:rPr>
      </w:pPr>
      <w:r>
        <w:rPr>
          <w:rFonts w:ascii="Times New Roman" w:hAnsi="Times New Roman" w:hint="eastAsia"/>
          <w:sz w:val="20"/>
          <w:szCs w:val="20"/>
        </w:rPr>
        <w:t xml:space="preserve">[6] </w:t>
      </w:r>
      <w:r>
        <w:rPr>
          <w:rFonts w:ascii="Times New Roman" w:hAnsi="Times New Roman"/>
          <w:sz w:val="20"/>
          <w:szCs w:val="20"/>
        </w:rPr>
        <w:t xml:space="preserve"> </w:t>
      </w:r>
      <w:r w:rsidRPr="00AA0B7F">
        <w:rPr>
          <w:rFonts w:ascii="Times New Roman" w:hAnsi="Times New Roman"/>
          <w:sz w:val="20"/>
          <w:szCs w:val="20"/>
        </w:rPr>
        <w:t>R1-1610891</w:t>
      </w:r>
      <w:r w:rsidR="006C44CF">
        <w:rPr>
          <w:rFonts w:ascii="Times New Roman" w:hAnsi="Times New Roman"/>
          <w:sz w:val="20"/>
          <w:szCs w:val="20"/>
        </w:rPr>
        <w:t xml:space="preserve">, </w:t>
      </w:r>
      <w:r w:rsidRPr="00AA0B7F">
        <w:rPr>
          <w:rFonts w:ascii="Times New Roman" w:hAnsi="Times New Roman"/>
          <w:sz w:val="20"/>
          <w:szCs w:val="20"/>
        </w:rPr>
        <w:t>WF on Group-based Beam Management, ZTE, ZTE Microelectronics, ASTRI, Nokia, ASB, CATT</w:t>
      </w:r>
    </w:p>
    <w:p w:rsidR="006C44CF" w:rsidRPr="00AA0B7F" w:rsidRDefault="006C44CF" w:rsidP="008C7B55">
      <w:pPr>
        <w:spacing w:after="0"/>
        <w:jc w:val="both"/>
        <w:rPr>
          <w:rFonts w:ascii="Times New Roman" w:hAnsi="Times New Roman"/>
          <w:sz w:val="20"/>
          <w:szCs w:val="20"/>
        </w:rPr>
      </w:pPr>
      <w:r>
        <w:rPr>
          <w:rFonts w:ascii="Times New Roman" w:hAnsi="Times New Roman"/>
          <w:sz w:val="20"/>
          <w:szCs w:val="20"/>
        </w:rPr>
        <w:t xml:space="preserve">[7] </w:t>
      </w:r>
      <w:r w:rsidRPr="006C44CF">
        <w:rPr>
          <w:rFonts w:ascii="Times New Roman" w:hAnsi="Times New Roman"/>
          <w:sz w:val="20"/>
          <w:szCs w:val="20"/>
        </w:rPr>
        <w:t>R1-1611409</w:t>
      </w:r>
      <w:r>
        <w:rPr>
          <w:rFonts w:ascii="Times New Roman" w:hAnsi="Times New Roman"/>
          <w:sz w:val="20"/>
          <w:szCs w:val="20"/>
        </w:rPr>
        <w:t xml:space="preserve">, </w:t>
      </w:r>
      <w:r w:rsidRPr="006C44CF">
        <w:rPr>
          <w:rFonts w:ascii="Times New Roman" w:hAnsi="Times New Roman"/>
          <w:sz w:val="20"/>
          <w:szCs w:val="20"/>
        </w:rPr>
        <w:t>Discussion on interference issues in NR</w:t>
      </w:r>
      <w:r>
        <w:rPr>
          <w:rFonts w:ascii="Times New Roman" w:hAnsi="Times New Roman"/>
          <w:sz w:val="20"/>
          <w:szCs w:val="20"/>
        </w:rPr>
        <w:t xml:space="preserve">, ZTE, </w:t>
      </w:r>
      <w:r w:rsidRPr="00AA0B7F">
        <w:rPr>
          <w:rFonts w:ascii="Times New Roman" w:hAnsi="Times New Roman"/>
          <w:sz w:val="20"/>
          <w:szCs w:val="20"/>
        </w:rPr>
        <w:t>ZTE Microelectronics</w:t>
      </w:r>
    </w:p>
    <w:p w:rsidR="00DC5DDA" w:rsidRPr="00AA0B7F" w:rsidRDefault="00DC5DDA" w:rsidP="00DC5DDA">
      <w:pPr>
        <w:spacing w:after="0"/>
        <w:jc w:val="both"/>
        <w:rPr>
          <w:rFonts w:ascii="Times New Roman" w:hAnsi="Times New Roman"/>
          <w:sz w:val="20"/>
          <w:szCs w:val="20"/>
        </w:rPr>
      </w:pPr>
    </w:p>
    <w:p w:rsidR="00F50B74" w:rsidRPr="008D3C89" w:rsidRDefault="002853B6" w:rsidP="00BF697C">
      <w:pPr>
        <w:pStyle w:val="Heading1"/>
        <w:numPr>
          <w:ilvl w:val="0"/>
          <w:numId w:val="0"/>
        </w:numPr>
        <w:spacing w:beforeLines="100" w:before="360"/>
        <w:ind w:left="431" w:hanging="431"/>
        <w:rPr>
          <w:sz w:val="32"/>
          <w:szCs w:val="32"/>
          <w:lang w:val="en-US"/>
        </w:rPr>
      </w:pPr>
      <w:r w:rsidRPr="006C44CF">
        <w:rPr>
          <w:sz w:val="32"/>
          <w:szCs w:val="32"/>
          <w:lang w:val="en-US"/>
        </w:rPr>
        <w:br w:type="page"/>
      </w:r>
      <w:r w:rsidR="00AA0B7F">
        <w:rPr>
          <w:rFonts w:hint="eastAsia"/>
          <w:sz w:val="32"/>
          <w:szCs w:val="32"/>
          <w:lang w:val="en-US"/>
        </w:rPr>
        <w:lastRenderedPageBreak/>
        <w:t>Appendix</w:t>
      </w:r>
    </w:p>
    <w:p w:rsidR="00AA0B7F" w:rsidRDefault="00AA0B7F" w:rsidP="00AA0B7F">
      <w:pPr>
        <w:pStyle w:val="Caption"/>
        <w:keepNext/>
        <w:jc w:val="center"/>
      </w:pPr>
      <w:bookmarkStart w:id="9" w:name="_Ref458408758"/>
      <w:r>
        <w:t>Table A-1</w:t>
      </w:r>
      <w:bookmarkEnd w:id="9"/>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3"/>
        <w:gridCol w:w="6423"/>
      </w:tblGrid>
      <w:tr w:rsidR="00AA0B7F" w:rsidRPr="00B070B1" w:rsidTr="004A0B7F">
        <w:trPr>
          <w:jc w:val="center"/>
        </w:trPr>
        <w:tc>
          <w:tcPr>
            <w:tcW w:w="3153" w:type="dxa"/>
            <w:shd w:val="clear" w:color="auto" w:fill="7F7F7F"/>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Parameter</w:t>
            </w:r>
          </w:p>
        </w:tc>
        <w:tc>
          <w:tcPr>
            <w:tcW w:w="6423" w:type="dxa"/>
            <w:shd w:val="clear" w:color="auto" w:fill="7F7F7F"/>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Carrier Frequency</w:t>
            </w:r>
          </w:p>
        </w:tc>
        <w:tc>
          <w:tcPr>
            <w:tcW w:w="6423" w:type="dxa"/>
            <w:vAlign w:val="center"/>
          </w:tcPr>
          <w:p w:rsidR="00AA0B7F" w:rsidRPr="002A1B95" w:rsidRDefault="004A0B7F" w:rsidP="00613E12">
            <w:pPr>
              <w:pStyle w:val="NoSpacing"/>
              <w:jc w:val="center"/>
              <w:rPr>
                <w:rFonts w:ascii="Times New Roman" w:hAnsi="Times New Roman"/>
                <w:sz w:val="20"/>
                <w:szCs w:val="20"/>
              </w:rPr>
            </w:pPr>
            <w:r>
              <w:rPr>
                <w:rFonts w:ascii="Times New Roman" w:hAnsi="Times New Roman" w:hint="eastAsia"/>
                <w:sz w:val="20"/>
                <w:szCs w:val="20"/>
              </w:rPr>
              <w:t>30</w:t>
            </w:r>
            <w:r w:rsidR="00AA0B7F" w:rsidRPr="002A1B95">
              <w:rPr>
                <w:rFonts w:ascii="Times New Roman" w:hAnsi="Times New Roman"/>
                <w:sz w:val="20"/>
                <w:szCs w:val="20"/>
              </w:rPr>
              <w:t xml:space="preserve"> GHz</w:t>
            </w:r>
          </w:p>
        </w:tc>
      </w:tr>
      <w:tr w:rsidR="004A0B7F" w:rsidRPr="00B070B1" w:rsidTr="004A0B7F">
        <w:trPr>
          <w:jc w:val="center"/>
        </w:trPr>
        <w:tc>
          <w:tcPr>
            <w:tcW w:w="3153" w:type="dxa"/>
            <w:vAlign w:val="center"/>
          </w:tcPr>
          <w:p w:rsidR="004A0B7F" w:rsidRPr="002A1B95" w:rsidRDefault="004A0B7F" w:rsidP="00AD289E">
            <w:pPr>
              <w:pStyle w:val="NoSpacing"/>
              <w:jc w:val="center"/>
              <w:rPr>
                <w:rFonts w:ascii="Times New Roman" w:hAnsi="Times New Roman"/>
                <w:sz w:val="20"/>
                <w:szCs w:val="20"/>
              </w:rPr>
            </w:pPr>
            <w:r>
              <w:rPr>
                <w:rFonts w:ascii="Times New Roman" w:hAnsi="Times New Roman" w:hint="eastAsia"/>
                <w:sz w:val="20"/>
                <w:szCs w:val="20"/>
              </w:rPr>
              <w:t>Channel model</w:t>
            </w:r>
          </w:p>
        </w:tc>
        <w:tc>
          <w:tcPr>
            <w:tcW w:w="6423" w:type="dxa"/>
            <w:vAlign w:val="center"/>
          </w:tcPr>
          <w:p w:rsidR="004A0B7F" w:rsidRPr="002A1B95" w:rsidRDefault="004A0B7F" w:rsidP="00AD289E">
            <w:pPr>
              <w:pStyle w:val="NoSpacing"/>
              <w:jc w:val="center"/>
              <w:rPr>
                <w:rFonts w:ascii="Times New Roman" w:hAnsi="Times New Roman"/>
                <w:sz w:val="20"/>
                <w:szCs w:val="20"/>
              </w:rPr>
            </w:pPr>
            <w:r>
              <w:rPr>
                <w:rFonts w:ascii="Times New Roman" w:hAnsi="Times New Roman" w:hint="eastAsia"/>
                <w:sz w:val="20"/>
                <w:szCs w:val="20"/>
              </w:rPr>
              <w:t>5GCM office</w:t>
            </w:r>
          </w:p>
        </w:tc>
      </w:tr>
      <w:tr w:rsidR="00AA0B7F" w:rsidRPr="00B070B1" w:rsidTr="004A0B7F">
        <w:trPr>
          <w:jc w:val="center"/>
        </w:trPr>
        <w:tc>
          <w:tcPr>
            <w:tcW w:w="3153" w:type="dxa"/>
            <w:vAlign w:val="center"/>
          </w:tcPr>
          <w:p w:rsidR="00AA0B7F" w:rsidRPr="002A1B95" w:rsidRDefault="003B5823" w:rsidP="00613E12">
            <w:pPr>
              <w:pStyle w:val="NoSpacing"/>
              <w:jc w:val="center"/>
              <w:rPr>
                <w:rFonts w:ascii="Times New Roman" w:hAnsi="Times New Roman"/>
                <w:sz w:val="20"/>
                <w:szCs w:val="20"/>
              </w:rPr>
            </w:pPr>
            <w:hyperlink r:id="rId9" w:tgtFrame="_self" w:history="1">
              <w:r w:rsidR="00AA0B7F" w:rsidRPr="002A1B95">
                <w:rPr>
                  <w:rFonts w:ascii="Times New Roman" w:hAnsi="Times New Roman"/>
                  <w:sz w:val="20"/>
                  <w:szCs w:val="20"/>
                </w:rPr>
                <w:t>Duplex Mode</w:t>
              </w:r>
            </w:hyperlink>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23" w:type="dxa"/>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1</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Antenna Configuration</w:t>
            </w:r>
          </w:p>
        </w:tc>
        <w:tc>
          <w:tcPr>
            <w:tcW w:w="6423" w:type="dxa"/>
            <w:vAlign w:val="center"/>
          </w:tcPr>
          <w:p w:rsidR="00AA0B7F" w:rsidRDefault="00AA0B7F" w:rsidP="00613E12">
            <w:pPr>
              <w:pStyle w:val="NoSpacing"/>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NoSpacing"/>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Tx Power</w:t>
            </w:r>
          </w:p>
        </w:tc>
        <w:tc>
          <w:tcPr>
            <w:tcW w:w="6423" w:type="dxa"/>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eNB antenna height</w:t>
            </w:r>
          </w:p>
        </w:tc>
        <w:tc>
          <w:tcPr>
            <w:tcW w:w="6423" w:type="dxa"/>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UE antenna height</w:t>
            </w:r>
          </w:p>
        </w:tc>
        <w:tc>
          <w:tcPr>
            <w:tcW w:w="6423" w:type="dxa"/>
            <w:vAlign w:val="center"/>
          </w:tcPr>
          <w:p w:rsidR="00AA0B7F" w:rsidRPr="002A1B95" w:rsidRDefault="00AA0B7F" w:rsidP="00613E12">
            <w:pPr>
              <w:pStyle w:val="NoSpacing"/>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Number of small cells</w:t>
            </w:r>
          </w:p>
        </w:tc>
        <w:tc>
          <w:tcPr>
            <w:tcW w:w="6423" w:type="dxa"/>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8</w:t>
            </w:r>
          </w:p>
        </w:tc>
      </w:tr>
      <w:tr w:rsidR="00AA0B7F" w:rsidRPr="00B070B1" w:rsidTr="004A0B7F">
        <w:trPr>
          <w:jc w:val="center"/>
        </w:trPr>
        <w:tc>
          <w:tcPr>
            <w:tcW w:w="3153" w:type="dxa"/>
            <w:vMerge w:val="restart"/>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Minimum distance (2D distance)</w:t>
            </w: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4A0B7F">
        <w:trPr>
          <w:jc w:val="center"/>
        </w:trPr>
        <w:tc>
          <w:tcPr>
            <w:tcW w:w="3153" w:type="dxa"/>
            <w:vMerge/>
            <w:vAlign w:val="center"/>
          </w:tcPr>
          <w:p w:rsidR="00AA0B7F" w:rsidRPr="002A1B95" w:rsidRDefault="00AA0B7F" w:rsidP="00613E12">
            <w:pPr>
              <w:pStyle w:val="NoSpacing"/>
              <w:jc w:val="center"/>
              <w:rPr>
                <w:rFonts w:ascii="Times New Roman" w:hAnsi="Times New Roman"/>
                <w:sz w:val="20"/>
                <w:szCs w:val="20"/>
              </w:rPr>
            </w:pP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23"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4A0B7F">
            <w:pPr>
              <w:spacing w:after="0" w:line="240" w:lineRule="auto"/>
              <w:jc w:val="center"/>
              <w:rPr>
                <w:rFonts w:ascii="Times New Roman" w:hAnsi="Times New Roman"/>
                <w:sz w:val="20"/>
                <w:szCs w:val="20"/>
              </w:rPr>
            </w:pPr>
            <w:r>
              <w:rPr>
                <w:rFonts w:ascii="Times New Roman" w:hAnsi="Times New Roman"/>
                <w:sz w:val="20"/>
                <w:szCs w:val="20"/>
              </w:rPr>
              <w:t>(low load ~</w:t>
            </w:r>
            <w:r w:rsidR="004A0B7F">
              <w:rPr>
                <w:rFonts w:ascii="Times New Roman" w:hAnsi="Times New Roman" w:hint="eastAsia"/>
                <w:sz w:val="20"/>
                <w:szCs w:val="20"/>
              </w:rPr>
              <w:t>10</w:t>
            </w:r>
            <w:r>
              <w:rPr>
                <w:rFonts w:ascii="Times New Roman" w:hAnsi="Times New Roman"/>
                <w:sz w:val="20"/>
                <w:szCs w:val="20"/>
              </w:rPr>
              <w:t xml:space="preserve">%, </w:t>
            </w:r>
            <w:r w:rsidR="004A0B7F">
              <w:rPr>
                <w:rFonts w:ascii="Times New Roman" w:hAnsi="Times New Roman" w:hint="eastAsia"/>
                <w:sz w:val="20"/>
                <w:szCs w:val="20"/>
              </w:rPr>
              <w:t>3</w:t>
            </w:r>
            <w:r>
              <w:rPr>
                <w:rFonts w:ascii="Times New Roman" w:hAnsi="Times New Roman"/>
                <w:sz w:val="20"/>
                <w:szCs w:val="20"/>
              </w:rPr>
              <w:t>0</w:t>
            </w:r>
            <w:r w:rsidRPr="003B6A33">
              <w:rPr>
                <w:rFonts w:ascii="Times New Roman" w:hAnsi="Times New Roman"/>
                <w:sz w:val="20"/>
                <w:szCs w:val="20"/>
              </w:rPr>
              <w:t>% RU</w:t>
            </w:r>
            <w:r>
              <w:rPr>
                <w:rFonts w:ascii="Times New Roman" w:hAnsi="Times New Roman" w:hint="eastAsia"/>
                <w:sz w:val="20"/>
                <w:szCs w:val="20"/>
              </w:rPr>
              <w:t>,</w:t>
            </w:r>
            <w:r w:rsidR="004A0B7F">
              <w:rPr>
                <w:rFonts w:ascii="Times New Roman" w:hAnsi="Times New Roman" w:hint="eastAsia"/>
                <w:sz w:val="20"/>
                <w:szCs w:val="20"/>
              </w:rPr>
              <w:t xml:space="preserve"> </w:t>
            </w:r>
            <w:r>
              <w:rPr>
                <w:rFonts w:ascii="Times New Roman" w:hAnsi="Times New Roman" w:hint="eastAsia"/>
                <w:sz w:val="20"/>
                <w:szCs w:val="20"/>
              </w:rPr>
              <w:t>70% RU</w:t>
            </w:r>
            <w:r w:rsidRPr="003B6A33">
              <w:rPr>
                <w:rFonts w:ascii="Times New Roman" w:hAnsi="Times New Roman"/>
                <w:sz w:val="20"/>
                <w:szCs w:val="20"/>
              </w:rPr>
              <w:t>)</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Handover margin</w:t>
            </w:r>
          </w:p>
        </w:tc>
        <w:tc>
          <w:tcPr>
            <w:tcW w:w="6423" w:type="dxa"/>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UE attachment</w:t>
            </w:r>
          </w:p>
        </w:tc>
        <w:tc>
          <w:tcPr>
            <w:tcW w:w="6423" w:type="dxa"/>
            <w:vAlign w:val="center"/>
          </w:tcPr>
          <w:p w:rsidR="00AA0B7F" w:rsidRPr="00EC2F96" w:rsidRDefault="00AA0B7F" w:rsidP="00613E12">
            <w:pPr>
              <w:pStyle w:val="NoSpacing"/>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Metrics</w:t>
            </w: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4A0B7F">
        <w:trPr>
          <w:jc w:val="center"/>
        </w:trPr>
        <w:tc>
          <w:tcPr>
            <w:tcW w:w="315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UE Speed</w:t>
            </w:r>
          </w:p>
        </w:tc>
        <w:tc>
          <w:tcPr>
            <w:tcW w:w="6423" w:type="dxa"/>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NoSpacing"/>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NoSpacing"/>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AA0B7F" w:rsidRPr="002A1B95" w:rsidRDefault="00AA0B7F" w:rsidP="00613E12">
            <w:pPr>
              <w:pStyle w:val="NoSpacing"/>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NoSpacing"/>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AA0B7F" w:rsidRPr="002A1B95" w:rsidRDefault="00AA0B7F" w:rsidP="00613E12">
            <w:pPr>
              <w:pStyle w:val="NoSpacing"/>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NoSpacing"/>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7.05pt" o:ole="">
                  <v:imagedata r:id="rId10" o:title=""/>
                </v:shape>
                <o:OLEObject Type="Embed" ProgID="Equation.DSMT4" ShapeID="_x0000_i1025" DrawAspect="Content" ObjectID="_1540707322" r:id="rId11"/>
              </w:object>
            </w:r>
            <w:r w:rsidRPr="002A1B95">
              <w:rPr>
                <w:rFonts w:ascii="Times New Roman" w:hAnsi="Times New Roman"/>
                <w:color w:val="000000"/>
                <w:sz w:val="20"/>
                <w:szCs w:val="20"/>
              </w:rPr>
              <w:t>is used,</w:t>
            </w:r>
          </w:p>
          <w:p w:rsidR="00AA0B7F" w:rsidRPr="002A1B95" w:rsidRDefault="00AA0B7F" w:rsidP="00613E12">
            <w:pPr>
              <w:pStyle w:val="NoSpacing"/>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Heading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823" w:rsidRDefault="003B5823" w:rsidP="008445A1">
      <w:pPr>
        <w:spacing w:after="0" w:line="240" w:lineRule="auto"/>
      </w:pPr>
      <w:r>
        <w:separator/>
      </w:r>
    </w:p>
  </w:endnote>
  <w:endnote w:type="continuationSeparator" w:id="0">
    <w:p w:rsidR="003B5823" w:rsidRDefault="003B582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823" w:rsidRDefault="003B5823" w:rsidP="008445A1">
      <w:pPr>
        <w:spacing w:after="0" w:line="240" w:lineRule="auto"/>
      </w:pPr>
      <w:r>
        <w:separator/>
      </w:r>
    </w:p>
  </w:footnote>
  <w:footnote w:type="continuationSeparator" w:id="0">
    <w:p w:rsidR="003B5823" w:rsidRDefault="003B5823"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6"/>
  </w:num>
  <w:num w:numId="4">
    <w:abstractNumId w:val="6"/>
  </w:num>
  <w:num w:numId="5">
    <w:abstractNumId w:val="12"/>
  </w:num>
  <w:num w:numId="6">
    <w:abstractNumId w:val="15"/>
  </w:num>
  <w:num w:numId="7">
    <w:abstractNumId w:val="11"/>
  </w:num>
  <w:num w:numId="8">
    <w:abstractNumId w:val="11"/>
  </w:num>
  <w:num w:numId="9">
    <w:abstractNumId w:val="9"/>
  </w:num>
  <w:num w:numId="10">
    <w:abstractNumId w:val="0"/>
  </w:num>
  <w:num w:numId="11">
    <w:abstractNumId w:val="5"/>
  </w:num>
  <w:num w:numId="12">
    <w:abstractNumId w:val="17"/>
  </w:num>
  <w:num w:numId="13">
    <w:abstractNumId w:val="11"/>
  </w:num>
  <w:num w:numId="14">
    <w:abstractNumId w:val="11"/>
  </w:num>
  <w:num w:numId="15">
    <w:abstractNumId w:val="11"/>
  </w:num>
  <w:num w:numId="16">
    <w:abstractNumId w:val="11"/>
  </w:num>
  <w:num w:numId="17">
    <w:abstractNumId w:val="14"/>
  </w:num>
  <w:num w:numId="18">
    <w:abstractNumId w:val="2"/>
  </w:num>
  <w:num w:numId="19">
    <w:abstractNumId w:val="3"/>
  </w:num>
  <w:num w:numId="20">
    <w:abstractNumId w:val="7"/>
  </w:num>
  <w:num w:numId="21">
    <w:abstractNumId w:val="10"/>
  </w:num>
  <w:num w:numId="22">
    <w:abstractNumId w:val="11"/>
  </w:num>
  <w:num w:numId="23">
    <w:abstractNumId w:val="4"/>
  </w:num>
  <w:num w:numId="24">
    <w:abstractNumId w:val="1"/>
  </w:num>
  <w:num w:numId="25">
    <w:abstractNumId w:val="13"/>
  </w:num>
  <w:num w:numId="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6A"/>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04E6"/>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1B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AAB"/>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B3"/>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23"/>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97BCD"/>
    <w:rsid w:val="004A013C"/>
    <w:rsid w:val="004A0185"/>
    <w:rsid w:val="004A01AD"/>
    <w:rsid w:val="004A05DA"/>
    <w:rsid w:val="004A0840"/>
    <w:rsid w:val="004A0B7F"/>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637"/>
    <w:rsid w:val="00502829"/>
    <w:rsid w:val="00502E92"/>
    <w:rsid w:val="005033E7"/>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1C8"/>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375"/>
    <w:rsid w:val="0062377F"/>
    <w:rsid w:val="00623896"/>
    <w:rsid w:val="00623AF8"/>
    <w:rsid w:val="0062402B"/>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0B8"/>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E37"/>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B"/>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97C"/>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627"/>
    <w:rsid w:val="00C8489C"/>
    <w:rsid w:val="00C84B9F"/>
    <w:rsid w:val="00C84EDF"/>
    <w:rsid w:val="00C85216"/>
    <w:rsid w:val="00C85E53"/>
    <w:rsid w:val="00C86031"/>
    <w:rsid w:val="00C86D51"/>
    <w:rsid w:val="00C87375"/>
    <w:rsid w:val="00C87420"/>
    <w:rsid w:val="00C87ADF"/>
    <w:rsid w:val="00C90212"/>
    <w:rsid w:val="00C90D46"/>
    <w:rsid w:val="00C90DEF"/>
    <w:rsid w:val="00C910A5"/>
    <w:rsid w:val="00C91917"/>
    <w:rsid w:val="00C91D47"/>
    <w:rsid w:val="00C91E02"/>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D6"/>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7E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1C6"/>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61C4F4"/>
  <w15:docId w15:val="{5E8F6477-1508-4F47-A447-1C62104B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rsid w:val="008E406C"/>
    <w:rPr>
      <w:rFonts w:ascii="Arial" w:eastAsia="黑体"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宋体"/>
      <w:sz w:val="18"/>
      <w:szCs w:val="18"/>
    </w:rPr>
  </w:style>
  <w:style w:type="character" w:customStyle="1" w:styleId="DocumentMapChar">
    <w:name w:val="Document Map Char"/>
    <w:link w:val="DocumentMap"/>
    <w:uiPriority w:val="99"/>
    <w:semiHidden/>
    <w:rsid w:val="00445B43"/>
    <w:rPr>
      <w:rFonts w:ascii="宋体"/>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宋体"/>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宋体" w:hAnsi="宋体" w:cs="宋体"/>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 w:type="paragraph" w:customStyle="1" w:styleId="TAL">
    <w:name w:val="TAL"/>
    <w:basedOn w:val="Normal"/>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NoSpacing">
    <w:name w:val="No Spacing"/>
    <w:uiPriority w:val="1"/>
    <w:qFormat/>
    <w:rsid w:val="00D839B0"/>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app:ds:duplex%20m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CD0D-7FCE-4F64-B2FC-693441AE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ynli</cp:lastModifiedBy>
  <cp:revision>10</cp:revision>
  <dcterms:created xsi:type="dcterms:W3CDTF">2016-11-05T15:53:00Z</dcterms:created>
  <dcterms:modified xsi:type="dcterms:W3CDTF">2016-11-15T01:28:00Z</dcterms:modified>
</cp:coreProperties>
</file>